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4"/>
        <w:spacing w:before="120" w:beforeAutospacing="0" w:after="120" w:afterAutospacing="0" w:line="360" w:lineRule="auto"/>
        <w:rPr>
          <w:highlight w:val="none"/>
        </w:rPr>
      </w:pPr>
      <w:r>
        <w:rPr>
          <w:highlight w:val="none"/>
        </w:rPr>
        <w:t xml:space="preserve"> </w:t>
      </w:r>
      <w:r/>
    </w:p>
    <w:p>
      <w:pPr>
        <w:pStyle w:val="824"/>
        <w:jc w:val="center"/>
        <w:spacing w:before="120" w:beforeAutospacing="0" w:after="120" w:afterAutospacing="0" w:line="360" w:lineRule="auto"/>
        <w:rPr>
          <w:highlight w:val="none"/>
        </w:rPr>
      </w:pPr>
      <w:r>
        <w:rPr>
          <w:rFonts w:ascii="Arial" w:hAnsi="Arial" w:cs="Arial"/>
          <w:b/>
          <w:color w:val="000000"/>
          <w:sz w:val="84"/>
          <w:szCs w:val="84"/>
          <w:highlight w:val="none"/>
        </w:rPr>
        <w:t xml:space="preserve">单一来源采购文件</w:t>
      </w:r>
      <w:r/>
    </w:p>
    <w:p>
      <w:pPr>
        <w:pStyle w:val="824"/>
        <w:ind w:left="1605" w:hanging="643"/>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824"/>
        <w:ind w:left="1605" w:hanging="643"/>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824"/>
        <w:ind w:left="1605" w:hanging="643"/>
        <w:spacing w:before="120" w:beforeAutospacing="0" w:after="120" w:afterAutospacing="0" w:line="360" w:lineRule="auto"/>
        <w:rPr>
          <w:rFonts w:hint="default" w:ascii="Arial" w:hAnsi="Arial" w:cs="Arial" w:eastAsiaTheme="minorEastAsia"/>
          <w:b/>
          <w:color w:val="000000"/>
          <w:sz w:val="32"/>
          <w:szCs w:val="32"/>
          <w:highlight w:val="none"/>
          <w:lang w:val="en-US" w:eastAsia="zh-CN"/>
        </w:rPr>
      </w:pPr>
      <w:r>
        <w:rPr>
          <w:rFonts w:ascii="Arial" w:hAnsi="Arial" w:cs="Arial"/>
          <w:b/>
          <w:color w:val="000000"/>
          <w:sz w:val="32"/>
          <w:szCs w:val="32"/>
          <w:highlight w:val="none"/>
        </w:rPr>
        <w:t xml:space="preserve">项目名称：</w:t>
      </w:r>
      <w:r>
        <w:rPr>
          <w:rFonts w:hint="eastAsia" w:ascii="Arial" w:hAnsi="Arial" w:cs="Arial"/>
          <w:b/>
          <w:color w:val="000000"/>
          <w:sz w:val="32"/>
          <w:szCs w:val="32"/>
          <w:highlight w:val="none"/>
          <w:lang w:val="en-US" w:eastAsia="zh-CN"/>
        </w:rPr>
        <w:t xml:space="preserve">响水县国企资产清查和行政事业单位公物仓系统建设项目</w:t>
      </w:r>
      <w:r/>
    </w:p>
    <w:p>
      <w:pPr>
        <w:pStyle w:val="824"/>
        <w:ind w:firstLine="964"/>
        <w:spacing w:before="120" w:beforeAutospacing="0" w:after="120" w:afterAutospacing="0" w:line="360" w:lineRule="auto"/>
        <w:rPr>
          <w:highlight w:val="none"/>
        </w:rPr>
      </w:pPr>
      <w:r>
        <w:rPr>
          <w:rFonts w:ascii="Arial" w:hAnsi="Arial" w:cs="Arial"/>
          <w:b/>
          <w:color w:val="000000"/>
          <w:sz w:val="32"/>
          <w:szCs w:val="32"/>
          <w:highlight w:val="none"/>
        </w:rPr>
        <w:t xml:space="preserve">项目编号：</w:t>
      </w:r>
      <w:r>
        <w:rPr>
          <w:rFonts w:ascii="Arial" w:hAnsi="Arial" w:cs="Arial"/>
          <w:b/>
          <w:color w:val="000000"/>
          <w:sz w:val="32"/>
          <w:szCs w:val="32"/>
          <w:highlight w:val="none"/>
        </w:rPr>
        <w:t xml:space="preserve">JSZC-320921-JZCG-D2025-0012</w:t>
      </w:r>
      <w:r>
        <w:rPr>
          <w:rFonts w:ascii="Times New Roman" w:hAnsi="Times New Roman"/>
          <w:color w:val="ff0000"/>
          <w:sz w:val="21"/>
          <w:szCs w:val="21"/>
          <w:highlight w:val="none"/>
        </w:rPr>
        <w:t xml:space="preserve">   </w:t>
      </w:r>
      <w:r>
        <w:rPr>
          <w:rFonts w:ascii="Times New Roman" w:hAnsi="Times New Roman"/>
          <w:color w:val="000000"/>
          <w:sz w:val="21"/>
          <w:szCs w:val="21"/>
          <w:highlight w:val="none"/>
        </w:rPr>
        <w:t xml:space="preserve">       </w:t>
      </w:r>
      <w:r>
        <w:rPr>
          <w:rFonts w:ascii="Times New Roman" w:hAnsi="Times New Roman"/>
          <w:b/>
          <w:color w:val="000000"/>
          <w:sz w:val="30"/>
          <w:szCs w:val="30"/>
          <w:highlight w:val="none"/>
        </w:rPr>
        <w:t xml:space="preserve">     </w:t>
      </w:r>
      <w:r/>
    </w:p>
    <w:p>
      <w:pPr>
        <w:pStyle w:val="824"/>
        <w:spacing w:beforeAutospacing="0" w:afterAutospacing="0" w:line="360" w:lineRule="auto"/>
        <w:rPr>
          <w:highlight w:val="none"/>
        </w:rPr>
      </w:pPr>
      <w:r>
        <w:rPr>
          <w:highlight w:val="none"/>
        </w:rPr>
        <w:t xml:space="preserve"> </w:t>
      </w:r>
      <w:r/>
    </w:p>
    <w:p>
      <w:pPr>
        <w:pStyle w:val="824"/>
        <w:spacing w:beforeAutospacing="0" w:afterAutospacing="0" w:line="360" w:lineRule="auto"/>
        <w:rPr>
          <w:highlight w:val="none"/>
        </w:rPr>
      </w:pPr>
      <w:r>
        <w:rPr>
          <w:highlight w:val="none"/>
        </w:rPr>
        <w:t xml:space="preserve"> </w:t>
      </w:r>
      <w:r/>
    </w:p>
    <w:p>
      <w:pPr>
        <w:pStyle w:val="824"/>
        <w:spacing w:beforeAutospacing="0" w:afterAutospacing="0" w:line="360" w:lineRule="auto"/>
        <w:rPr>
          <w:highlight w:val="none"/>
        </w:rPr>
      </w:pPr>
      <w:r>
        <w:rPr>
          <w:highlight w:val="none"/>
        </w:rPr>
        <w:t xml:space="preserve"> </w:t>
      </w:r>
      <w:r/>
    </w:p>
    <w:p>
      <w:pPr>
        <w:pStyle w:val="824"/>
        <w:spacing w:beforeAutospacing="0" w:afterAutospacing="0" w:line="360" w:lineRule="auto"/>
        <w:rPr>
          <w:highlight w:val="none"/>
        </w:rPr>
      </w:pPr>
      <w:r>
        <w:rPr>
          <w:highlight w:val="none"/>
        </w:rPr>
        <w:t xml:space="preserve"> </w:t>
      </w:r>
      <w:r/>
    </w:p>
    <w:p>
      <w:pPr>
        <w:pStyle w:val="824"/>
        <w:spacing w:beforeAutospacing="0" w:afterAutospacing="0" w:line="360" w:lineRule="auto"/>
        <w:rPr>
          <w:highlight w:val="none"/>
        </w:rPr>
      </w:pPr>
      <w:r>
        <w:rPr>
          <w:highlight w:val="none"/>
        </w:rPr>
        <w:t xml:space="preserve"> </w:t>
      </w:r>
      <w:r/>
    </w:p>
    <w:p>
      <w:pPr>
        <w:pStyle w:val="824"/>
        <w:spacing w:beforeAutospacing="0" w:afterAutospacing="0" w:line="360" w:lineRule="auto"/>
        <w:rPr>
          <w:highlight w:val="none"/>
        </w:rPr>
      </w:pPr>
      <w:r>
        <w:rPr>
          <w:highlight w:val="none"/>
        </w:rPr>
        <w:t xml:space="preserve"> </w:t>
      </w:r>
      <w:r/>
    </w:p>
    <w:p>
      <w:pPr>
        <w:pStyle w:val="824"/>
        <w:spacing w:beforeAutospacing="0" w:afterAutospacing="0" w:line="360" w:lineRule="auto"/>
        <w:rPr>
          <w:highlight w:val="none"/>
        </w:rPr>
      </w:pPr>
      <w:r>
        <w:rPr>
          <w:highlight w:val="none"/>
        </w:rPr>
        <w:t xml:space="preserve"> </w:t>
      </w:r>
      <w:r/>
    </w:p>
    <w:p>
      <w:pPr>
        <w:pStyle w:val="824"/>
        <w:jc w:val="center"/>
        <w:spacing w:before="120" w:beforeAutospacing="0" w:after="120" w:afterAutospacing="0" w:line="360" w:lineRule="auto"/>
        <w:rPr>
          <w:rFonts w:hint="default" w:ascii="Arial" w:hAnsi="Arial" w:cs="Arial" w:eastAsiaTheme="minorEastAsia"/>
          <w:b/>
          <w:color w:val="000000"/>
          <w:sz w:val="32"/>
          <w:szCs w:val="32"/>
          <w:highlight w:val="none"/>
          <w:lang w:val="en-US" w:eastAsia="zh-CN"/>
        </w:rPr>
      </w:pPr>
      <w:r>
        <w:rPr>
          <w:rFonts w:hint="eastAsia" w:ascii="Arial" w:hAnsi="Arial" w:cs="Arial"/>
          <w:b/>
          <w:color w:val="000000"/>
          <w:sz w:val="32"/>
          <w:szCs w:val="32"/>
          <w:highlight w:val="none"/>
        </w:rPr>
        <w:t xml:space="preserve">采购单位</w:t>
      </w:r>
      <w:r>
        <w:rPr>
          <w:rFonts w:hint="eastAsia" w:ascii="Arial" w:hAnsi="Arial" w:cs="Arial"/>
          <w:b/>
          <w:color w:val="000000"/>
          <w:sz w:val="32"/>
          <w:szCs w:val="32"/>
          <w:highlight w:val="none"/>
          <w:lang w:eastAsia="zh-CN"/>
        </w:rPr>
        <w:t xml:space="preserve">：</w:t>
      </w:r>
      <w:r>
        <w:rPr>
          <w:rFonts w:hint="eastAsia" w:ascii="Arial" w:hAnsi="Arial" w:cs="Arial"/>
          <w:b/>
          <w:color w:val="000000"/>
          <w:sz w:val="32"/>
          <w:szCs w:val="32"/>
          <w:highlight w:val="none"/>
          <w:lang w:val="en-US" w:eastAsia="zh-CN"/>
        </w:rPr>
        <w:t xml:space="preserve">响水县财政局</w:t>
      </w:r>
      <w:r/>
    </w:p>
    <w:p>
      <w:pPr>
        <w:pStyle w:val="824"/>
        <w:jc w:val="center"/>
        <w:spacing w:before="120" w:beforeAutospacing="0" w:after="120" w:afterAutospacing="0" w:line="360" w:lineRule="auto"/>
        <w:rPr>
          <w:highlight w:val="none"/>
        </w:rPr>
      </w:pPr>
      <w:r>
        <w:rPr>
          <w:rFonts w:hint="eastAsia" w:ascii="Arial" w:hAnsi="Arial" w:cs="Arial"/>
          <w:b/>
          <w:color w:val="000000"/>
          <w:sz w:val="32"/>
          <w:szCs w:val="32"/>
          <w:highlight w:val="none"/>
          <w:u w:val="single"/>
          <w:lang w:val="en-US" w:eastAsia="zh-CN"/>
        </w:rPr>
        <w:t xml:space="preserve"> 2025 </w:t>
      </w:r>
      <w:r>
        <w:rPr>
          <w:rFonts w:ascii="Arial" w:hAnsi="Arial" w:cs="Arial"/>
          <w:b/>
          <w:color w:val="000000"/>
          <w:sz w:val="32"/>
          <w:szCs w:val="32"/>
          <w:highlight w:val="none"/>
        </w:rPr>
        <w:t xml:space="preserve">年</w:t>
      </w:r>
      <w:r>
        <w:rPr>
          <w:rFonts w:hint="eastAsia" w:ascii="Arial" w:hAnsi="Arial" w:cs="Arial"/>
          <w:b/>
          <w:color w:val="000000"/>
          <w:sz w:val="32"/>
          <w:szCs w:val="32"/>
          <w:highlight w:val="none"/>
          <w:u w:val="single"/>
          <w:lang w:val="en-US" w:eastAsia="zh-CN"/>
        </w:rPr>
        <w:t xml:space="preserve"> 12 </w:t>
      </w:r>
      <w:r>
        <w:rPr>
          <w:rFonts w:ascii="Arial" w:hAnsi="Arial" w:cs="Arial"/>
          <w:b/>
          <w:color w:val="000000"/>
          <w:sz w:val="32"/>
          <w:szCs w:val="32"/>
          <w:highlight w:val="none"/>
        </w:rPr>
        <w:t xml:space="preserve">月</w:t>
      </w:r>
      <w:r/>
    </w:p>
    <w:p>
      <w:pPr>
        <w:pStyle w:val="824"/>
        <w:spacing w:before="120" w:beforeAutospacing="0" w:after="120" w:afterAutospacing="0" w:line="360" w:lineRule="auto"/>
        <w:rPr>
          <w:highlight w:val="none"/>
        </w:rPr>
      </w:pPr>
      <w:r>
        <w:rPr>
          <w:rFonts w:ascii="Arial" w:hAnsi="Arial" w:cs="Arial"/>
          <w:color w:val="000000"/>
          <w:highlight w:val="none"/>
        </w:rPr>
        <w:t xml:space="preserve">                        </w:t>
      </w:r>
      <w:r/>
    </w:p>
    <w:p>
      <w:pPr>
        <w:pStyle w:val="824"/>
        <w:jc w:val="center"/>
        <w:spacing w:before="120" w:beforeAutospacing="0" w:after="120" w:afterAutospacing="0" w:line="360" w:lineRule="auto"/>
        <w:rPr>
          <w:highlight w:val="none"/>
        </w:rPr>
      </w:pPr>
      <w:r>
        <w:rPr>
          <w:highlight w:val="none"/>
        </w:rPr>
        <w:t xml:space="preserve"> </w:t>
      </w:r>
      <w:r/>
    </w:p>
    <w:p>
      <w:pPr>
        <w:pStyle w:val="824"/>
        <w:jc w:val="center"/>
        <w:spacing w:beforeAutospacing="0" w:afterAutospacing="0" w:line="480" w:lineRule="auto"/>
        <w:rPr>
          <w:highlight w:val="none"/>
        </w:rPr>
      </w:pPr>
      <w:r>
        <w:rPr>
          <w:rFonts w:ascii="Times New Roman" w:hAnsi="Times New Roman"/>
          <w:color w:val="000000"/>
          <w:sz w:val="21"/>
          <w:szCs w:val="21"/>
          <w:highlight w:val="none"/>
        </w:rPr>
        <w:br w:type="page" w:clear="all"/>
      </w:r>
      <w:r>
        <w:rPr>
          <w:rFonts w:ascii="Times New Roman" w:hAnsi="Times New Roman"/>
          <w:color w:val="000000"/>
          <w:sz w:val="21"/>
          <w:szCs w:val="21"/>
          <w:highlight w:val="none"/>
        </w:rPr>
        <w:t xml:space="preserve"> </w:t>
      </w:r>
      <w:bookmarkStart w:id="0" w:name="_Toc20823272"/>
      <w:r/>
      <w:bookmarkStart w:id="1" w:name="_Toc16938516"/>
      <w:r/>
      <w:bookmarkStart w:id="2" w:name="_Toc120614210"/>
      <w:r/>
      <w:bookmarkStart w:id="3" w:name="_Toc523127445"/>
      <w:r/>
      <w:bookmarkStart w:id="4" w:name="_Toc513029200"/>
      <w:r/>
      <w:bookmarkStart w:id="5" w:name="_Toc479757206"/>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824"/>
        <w:jc w:val="both"/>
        <w:spacing w:beforeAutospacing="0" w:afterAutospacing="0" w:line="480" w:lineRule="auto"/>
        <w:rPr>
          <w:highlight w:val="none"/>
        </w:rPr>
      </w:pPr>
      <w:r>
        <w:rPr>
          <w:highlight w:val="none"/>
        </w:rPr>
        <w:t xml:space="preserve"> </w:t>
      </w:r>
      <w:r/>
    </w:p>
    <w:p>
      <w:pPr>
        <w:pStyle w:val="824"/>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单一来源采购邀请…………………………</w:t>
      </w:r>
      <w:r/>
    </w:p>
    <w:p>
      <w:pPr>
        <w:pStyle w:val="824"/>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供应商须知…………………………………  </w:t>
      </w:r>
      <w:r/>
    </w:p>
    <w:p>
      <w:pPr>
        <w:pStyle w:val="824"/>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合同文本……………………………………</w:t>
      </w:r>
      <w:r/>
    </w:p>
    <w:p>
      <w:pPr>
        <w:pStyle w:val="824"/>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采购需求……………………………………</w:t>
      </w:r>
      <w:r/>
    </w:p>
    <w:p>
      <w:pPr>
        <w:pStyle w:val="824"/>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响应文件格式………………………………</w:t>
      </w:r>
      <w:r/>
    </w:p>
    <w:p>
      <w:pPr>
        <w:pStyle w:val="824"/>
        <w:jc w:val="both"/>
        <w:spacing w:beforeAutospacing="0" w:afterAutospacing="0"/>
        <w:rPr>
          <w:highlight w:val="none"/>
        </w:rPr>
      </w:pPr>
      <w:r>
        <w:rPr>
          <w:highlight w:val="none"/>
        </w:rPr>
        <w:t xml:space="preserve"> </w:t>
      </w:r>
      <w:r/>
    </w:p>
    <w:p>
      <w:pPr>
        <w:pStyle w:val="824"/>
        <w:jc w:val="both"/>
        <w:spacing w:beforeAutospacing="0" w:afterAutospacing="0"/>
        <w:rPr>
          <w:highlight w:val="none"/>
        </w:rPr>
      </w:pPr>
      <w:r>
        <w:rPr>
          <w:highlight w:val="none"/>
        </w:rPr>
        <w:t xml:space="preserve"> </w:t>
      </w:r>
      <w:r/>
    </w:p>
    <w:p>
      <w:pPr>
        <w:pStyle w:val="824"/>
        <w:jc w:val="both"/>
        <w:spacing w:beforeAutospacing="0" w:afterAutospacing="0"/>
        <w:rPr>
          <w:highlight w:val="none"/>
        </w:rPr>
      </w:pPr>
      <w:r>
        <w:rPr>
          <w:highlight w:val="none"/>
        </w:rPr>
        <w:t xml:space="preserve"> </w:t>
      </w:r>
      <w:r/>
    </w:p>
    <w:p>
      <w:pPr>
        <w:pStyle w:val="824"/>
        <w:jc w:val="both"/>
        <w:spacing w:beforeAutospacing="0" w:afterAutospacing="0"/>
        <w:rPr>
          <w:highlight w:val="none"/>
        </w:rPr>
      </w:pPr>
      <w:r>
        <w:rPr>
          <w:highlight w:val="none"/>
        </w:rPr>
        <w:t xml:space="preserve"> </w:t>
      </w:r>
      <w:r/>
    </w:p>
    <w:p>
      <w:pPr>
        <w:pStyle w:val="824"/>
        <w:jc w:val="both"/>
        <w:spacing w:beforeAutospacing="0" w:afterAutospacing="0"/>
        <w:rPr>
          <w:highlight w:val="none"/>
        </w:rPr>
      </w:pPr>
      <w:r>
        <w:rPr>
          <w:highlight w:val="none"/>
        </w:rPr>
        <w:t xml:space="preserve"> </w:t>
      </w:r>
      <w:r/>
    </w:p>
    <w:p>
      <w:pPr>
        <w:pStyle w:val="824"/>
        <w:jc w:val="both"/>
        <w:spacing w:beforeAutospacing="0" w:afterAutospacing="0"/>
        <w:rPr>
          <w:highlight w:val="none"/>
        </w:rPr>
      </w:pPr>
      <w:r>
        <w:rPr>
          <w:highlight w:val="none"/>
        </w:rPr>
        <w:t xml:space="preserve"> </w:t>
      </w:r>
      <w:r/>
    </w:p>
    <w:p>
      <w:pPr>
        <w:pStyle w:val="824"/>
        <w:jc w:val="both"/>
        <w:spacing w:beforeAutospacing="0" w:afterAutospacing="0"/>
        <w:rPr>
          <w:highlight w:val="none"/>
        </w:rPr>
      </w:pPr>
      <w:r>
        <w:rPr>
          <w:highlight w:val="none"/>
        </w:rPr>
        <w:t xml:space="preserve"> </w:t>
      </w:r>
      <w:r/>
    </w:p>
    <w:p>
      <w:pPr>
        <w:pStyle w:val="824"/>
        <w:jc w:val="both"/>
        <w:spacing w:beforeAutospacing="0" w:afterAutospacing="0"/>
        <w:rPr>
          <w:highlight w:val="none"/>
        </w:rPr>
      </w:pPr>
      <w:r>
        <w:rPr>
          <w:highlight w:val="none"/>
        </w:rPr>
        <w:t xml:space="preserve"> </w:t>
      </w:r>
      <w:r/>
    </w:p>
    <w:p>
      <w:pPr>
        <w:pStyle w:val="824"/>
        <w:jc w:val="both"/>
        <w:spacing w:beforeAutospacing="0" w:afterAutospacing="0"/>
        <w:rPr>
          <w:highlight w:val="none"/>
        </w:rPr>
      </w:pPr>
      <w:r>
        <w:rPr>
          <w:highlight w:val="none"/>
        </w:rPr>
        <w:t xml:space="preserve"> </w:t>
      </w:r>
      <w:r/>
    </w:p>
    <w:p>
      <w:pPr>
        <w:pStyle w:val="824"/>
        <w:jc w:val="both"/>
        <w:spacing w:beforeAutospacing="0" w:afterAutospacing="0"/>
        <w:rPr>
          <w:highlight w:val="none"/>
        </w:rPr>
      </w:pPr>
      <w:r>
        <w:rPr>
          <w:highlight w:val="none"/>
        </w:rPr>
        <w:t xml:space="preserve"> </w:t>
      </w:r>
      <w:r/>
    </w:p>
    <w:p>
      <w:pPr>
        <w:pStyle w:val="824"/>
        <w:jc w:val="both"/>
        <w:spacing w:beforeAutospacing="0" w:afterAutospacing="0"/>
        <w:rPr>
          <w:highlight w:val="none"/>
        </w:rPr>
      </w:pPr>
      <w:r>
        <w:rPr>
          <w:highlight w:val="none"/>
        </w:rPr>
        <w:t xml:space="preserve"> </w:t>
      </w:r>
      <w:r/>
    </w:p>
    <w:p>
      <w:pPr>
        <w:pStyle w:val="824"/>
        <w:jc w:val="both"/>
        <w:spacing w:beforeAutospacing="0" w:afterAutospacing="0"/>
        <w:rPr>
          <w:highlight w:val="none"/>
        </w:rPr>
      </w:pPr>
      <w:r>
        <w:rPr>
          <w:highlight w:val="none"/>
        </w:rPr>
        <w:t xml:space="preserve"> </w:t>
      </w:r>
      <w:r/>
    </w:p>
    <w:p>
      <w:pPr>
        <w:pStyle w:val="824"/>
        <w:jc w:val="both"/>
        <w:spacing w:beforeAutospacing="0" w:afterAutospacing="0"/>
        <w:rPr>
          <w:highlight w:val="none"/>
        </w:rPr>
      </w:pPr>
      <w:r>
        <w:rPr>
          <w:highlight w:val="none"/>
        </w:rPr>
        <w:t xml:space="preserve"> </w:t>
      </w:r>
      <w:r/>
    </w:p>
    <w:p>
      <w:pPr>
        <w:pStyle w:val="824"/>
        <w:jc w:val="both"/>
        <w:spacing w:beforeAutospacing="0" w:afterAutospacing="0"/>
        <w:rPr>
          <w:highlight w:val="none"/>
        </w:rPr>
      </w:pPr>
      <w:r>
        <w:rPr>
          <w:highlight w:val="none"/>
        </w:rPr>
        <w:t xml:space="preserve"> </w:t>
      </w:r>
      <w:r/>
    </w:p>
    <w:p>
      <w:pPr>
        <w:pStyle w:val="824"/>
        <w:jc w:val="both"/>
        <w:spacing w:beforeAutospacing="0" w:afterAutospacing="0"/>
        <w:rPr>
          <w:highlight w:val="none"/>
        </w:rPr>
      </w:pPr>
      <w:r>
        <w:rPr>
          <w:highlight w:val="none"/>
        </w:rPr>
        <w:t xml:space="preserve"> </w:t>
      </w:r>
      <w:r/>
    </w:p>
    <w:p>
      <w:pPr>
        <w:pStyle w:val="824"/>
        <w:jc w:val="both"/>
        <w:spacing w:beforeAutospacing="0" w:afterAutospacing="0"/>
        <w:rPr>
          <w:highlight w:val="none"/>
        </w:rPr>
      </w:pPr>
      <w:r>
        <w:rPr>
          <w:highlight w:val="none"/>
        </w:rPr>
        <w:t xml:space="preserve"> </w:t>
      </w:r>
      <w:r/>
    </w:p>
    <w:p>
      <w:pPr>
        <w:pStyle w:val="824"/>
        <w:jc w:val="both"/>
        <w:spacing w:beforeAutospacing="0" w:afterAutospacing="0"/>
        <w:rPr>
          <w:highlight w:val="none"/>
        </w:rPr>
      </w:pPr>
      <w:r>
        <w:rPr>
          <w:highlight w:val="none"/>
        </w:rPr>
        <w:t xml:space="preserve"> </w:t>
      </w:r>
      <w:r/>
    </w:p>
    <w:p>
      <w:pPr>
        <w:pStyle w:val="824"/>
        <w:jc w:val="both"/>
        <w:spacing w:beforeAutospacing="0" w:afterAutospacing="0"/>
        <w:rPr>
          <w:highlight w:val="none"/>
        </w:rPr>
      </w:pPr>
      <w:r>
        <w:rPr>
          <w:highlight w:val="none"/>
        </w:rPr>
        <w:t xml:space="preserve"> </w:t>
      </w:r>
      <w:r/>
    </w:p>
    <w:p>
      <w:pPr>
        <w:pStyle w:val="824"/>
        <w:jc w:val="both"/>
        <w:spacing w:beforeAutospacing="0" w:afterAutospacing="0"/>
        <w:rPr>
          <w:highlight w:val="none"/>
        </w:rPr>
      </w:pPr>
      <w:r>
        <w:rPr>
          <w:highlight w:val="none"/>
        </w:rPr>
        <w:t xml:space="preserve"> </w:t>
      </w:r>
      <w:r/>
    </w:p>
    <w:p>
      <w:pPr>
        <w:pStyle w:val="824"/>
        <w:jc w:val="both"/>
        <w:spacing w:beforeAutospacing="0" w:afterAutospacing="0"/>
        <w:rPr>
          <w:highlight w:val="none"/>
        </w:rPr>
      </w:pPr>
      <w:r>
        <w:rPr>
          <w:highlight w:val="none"/>
        </w:rPr>
        <w:t xml:space="preserve"> </w:t>
      </w:r>
      <w:r/>
    </w:p>
    <w:p>
      <w:pPr>
        <w:pStyle w:val="824"/>
        <w:jc w:val="both"/>
        <w:spacing w:beforeAutospacing="0" w:afterAutospacing="0"/>
        <w:rPr>
          <w:highlight w:val="none"/>
        </w:rPr>
      </w:pPr>
      <w:r>
        <w:rPr>
          <w:highlight w:val="none"/>
        </w:rPr>
        <w:t xml:space="preserve"> </w:t>
      </w:r>
      <w:r/>
    </w:p>
    <w:p>
      <w:pPr>
        <w:pStyle w:val="824"/>
        <w:jc w:val="both"/>
        <w:spacing w:beforeAutospacing="0" w:afterAutospacing="0"/>
        <w:rPr>
          <w:highlight w:val="none"/>
        </w:rPr>
      </w:pPr>
      <w:r>
        <w:rPr>
          <w:highlight w:val="none"/>
        </w:rPr>
        <w:t xml:space="preserve"> </w:t>
      </w:r>
      <w:r/>
    </w:p>
    <w:p>
      <w:pPr>
        <w:pStyle w:val="824"/>
        <w:jc w:val="both"/>
        <w:spacing w:beforeAutospacing="0" w:afterAutospacing="0"/>
        <w:rPr>
          <w:highlight w:val="none"/>
        </w:rPr>
      </w:pPr>
      <w:r>
        <w:rPr>
          <w:highlight w:val="none"/>
        </w:rPr>
        <w:t xml:space="preserve"> </w:t>
      </w:r>
      <w:r/>
    </w:p>
    <w:p>
      <w:pPr>
        <w:pStyle w:val="824"/>
        <w:jc w:val="both"/>
        <w:spacing w:beforeAutospacing="0" w:afterAutospacing="0"/>
        <w:rPr>
          <w:highlight w:val="none"/>
        </w:rPr>
      </w:pPr>
      <w:r>
        <w:rPr>
          <w:highlight w:val="none"/>
        </w:rPr>
        <w:t xml:space="preserve"> </w:t>
      </w:r>
      <w:r/>
    </w:p>
    <w:p>
      <w:pPr>
        <w:pStyle w:val="824"/>
        <w:jc w:val="both"/>
        <w:spacing w:beforeAutospacing="0" w:afterAutospacing="0"/>
        <w:rPr>
          <w:highlight w:val="none"/>
        </w:rPr>
      </w:pPr>
      <w:r>
        <w:rPr>
          <w:highlight w:val="none"/>
        </w:rPr>
        <w:t xml:space="preserve"> </w:t>
      </w:r>
      <w:r/>
    </w:p>
    <w:p>
      <w:pPr>
        <w:pStyle w:val="824"/>
        <w:jc w:val="both"/>
        <w:spacing w:beforeAutospacing="0" w:afterAutospacing="0"/>
        <w:rPr>
          <w:highlight w:val="none"/>
        </w:rPr>
      </w:pPr>
      <w:r>
        <w:rPr>
          <w:highlight w:val="none"/>
        </w:rPr>
        <w:t xml:space="preserve"> </w:t>
      </w:r>
      <w:r/>
    </w:p>
    <w:p>
      <w:pPr>
        <w:pStyle w:val="824"/>
        <w:jc w:val="both"/>
        <w:spacing w:beforeAutospacing="0" w:afterAutospacing="0"/>
        <w:rPr>
          <w:highlight w:val="none"/>
        </w:rPr>
      </w:pPr>
      <w:r>
        <w:rPr>
          <w:highlight w:val="none"/>
        </w:rPr>
        <w:t xml:space="preserve"> </w:t>
      </w:r>
      <w:r/>
    </w:p>
    <w:p>
      <w:pPr>
        <w:pStyle w:val="824"/>
        <w:jc w:val="both"/>
        <w:spacing w:beforeAutospacing="0" w:afterAutospacing="0"/>
        <w:rPr>
          <w:highlight w:val="none"/>
        </w:rPr>
      </w:pPr>
      <w:r>
        <w:rPr>
          <w:highlight w:val="none"/>
        </w:rPr>
        <w:t xml:space="preserve"> </w:t>
      </w:r>
      <w:r/>
    </w:p>
    <w:p>
      <w:pPr>
        <w:pStyle w:val="824"/>
        <w:jc w:val="both"/>
        <w:spacing w:beforeAutospacing="0" w:afterAutospacing="0"/>
        <w:rPr>
          <w:highlight w:val="none"/>
        </w:rPr>
      </w:pPr>
      <w:r>
        <w:rPr>
          <w:highlight w:val="none"/>
        </w:rPr>
        <w:t xml:space="preserve"> </w:t>
      </w:r>
      <w:r/>
    </w:p>
    <w:p>
      <w:pPr>
        <w:pStyle w:val="824"/>
        <w:jc w:val="center"/>
        <w:keepNext/>
        <w:spacing w:beforeAutospacing="0" w:afterAutospacing="0"/>
        <w:rPr>
          <w:highlight w:val="none"/>
        </w:rPr>
      </w:pPr>
      <w:r>
        <w:rPr>
          <w:highlight w:val="none"/>
        </w:rPr>
        <w:t xml:space="preserve"> </w:t>
      </w:r>
      <w:r/>
    </w:p>
    <w:p>
      <w:pPr>
        <w:pStyle w:val="824"/>
        <w:jc w:val="center"/>
        <w:keepNext/>
        <w:spacing w:beforeAutospacing="0" w:afterAutospacing="0"/>
        <w:rPr>
          <w:highlight w:val="none"/>
        </w:rPr>
      </w:pPr>
      <w:r>
        <w:rPr>
          <w:rFonts w:hint="eastAsia" w:ascii="黑体" w:hAnsi="宋体" w:eastAsia="黑体" w:cs="黑体"/>
          <w:color w:val="000000"/>
          <w:sz w:val="44"/>
          <w:szCs w:val="44"/>
          <w:highlight w:val="none"/>
        </w:rPr>
        <w:t xml:space="preserve">第一章  单一来源采购邀请</w:t>
      </w:r>
      <w:r/>
    </w:p>
    <w:p>
      <w:pPr>
        <w:pStyle w:val="824"/>
        <w:ind w:firstLine="480"/>
        <w:jc w:val="both"/>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000000"/>
          <w:sz w:val="24"/>
          <w:szCs w:val="24"/>
          <w:highlight w:val="none"/>
        </w:rPr>
        <w:t xml:space="preserve">受[</w:t>
      </w:r>
      <w:r>
        <w:rPr>
          <w:rFonts w:hint="eastAsia" w:ascii="宋体" w:hAnsi="宋体" w:eastAsia="宋体" w:cs="宋体"/>
          <w:color w:val="000000"/>
          <w:sz w:val="24"/>
          <w:szCs w:val="24"/>
          <w:highlight w:val="none"/>
          <w:lang w:val="en-US" w:eastAsia="zh-CN"/>
        </w:rPr>
        <w:t xml:space="preserve">响水县财政局</w:t>
      </w:r>
      <w:r>
        <w:rPr>
          <w:rFonts w:hint="eastAsia" w:ascii="宋体" w:hAnsi="宋体" w:eastAsia="宋体" w:cs="宋体"/>
          <w:color w:val="000000"/>
          <w:sz w:val="24"/>
          <w:szCs w:val="24"/>
          <w:highlight w:val="none"/>
        </w:rPr>
        <w:t xml:space="preserve">]的委托，</w:t>
      </w:r>
      <w:r>
        <w:rPr>
          <w:rFonts w:hint="eastAsia" w:ascii="宋体" w:hAnsi="宋体" w:eastAsia="宋体" w:cs="宋体"/>
          <w:color w:val="000000"/>
          <w:sz w:val="24"/>
          <w:szCs w:val="24"/>
          <w:highlight w:val="none"/>
          <w:lang w:val="en-US" w:eastAsia="zh-CN"/>
        </w:rPr>
        <w:t xml:space="preserve">响水县公共资源交易中心（响水县政府采购中心）</w:t>
      </w:r>
      <w:r>
        <w:rPr>
          <w:rFonts w:hint="eastAsia" w:ascii="宋体" w:hAnsi="宋体" w:eastAsia="宋体" w:cs="宋体"/>
          <w:color w:val="000000"/>
          <w:sz w:val="24"/>
          <w:szCs w:val="24"/>
          <w:highlight w:val="none"/>
        </w:rPr>
        <w:t xml:space="preserve">就[响水县国企资产清查和行政事业单位公物仓系统建设项目]([</w:t>
      </w:r>
      <w:r>
        <w:rPr>
          <w:rFonts w:ascii="Arial" w:hAnsi="Arial" w:eastAsia="Arial" w:cs="Arial"/>
          <w:color w:val="000000"/>
          <w:sz w:val="21"/>
          <w:highlight w:val="white"/>
        </w:rPr>
        <w:t xml:space="preserve">JSZC-320921-JZCG-D2025-0012</w:t>
      </w:r>
      <w:r>
        <w:rPr>
          <w:rFonts w:hint="eastAsia" w:ascii="宋体" w:hAnsi="宋体" w:eastAsia="宋体" w:cs="宋体"/>
          <w:color w:val="000000"/>
          <w:sz w:val="24"/>
          <w:szCs w:val="24"/>
          <w:highlight w:val="none"/>
        </w:rPr>
        <w:t xml:space="preserve">])</w:t>
      </w:r>
      <w:r>
        <w:rPr>
          <w:rFonts w:hint="eastAsia" w:ascii="宋体" w:hAnsi="宋体" w:eastAsia="宋体" w:cs="宋体"/>
          <w:color w:val="auto"/>
          <w:sz w:val="24"/>
          <w:szCs w:val="24"/>
          <w:highlight w:val="none"/>
          <w:shd w:val="clear" w:color="auto" w:fill="auto"/>
        </w:rPr>
        <w:t xml:space="preserve">项目进行单一来源采购，欢迎符合相关条件的合格供应商参加采购活动。</w:t>
      </w:r>
      <w:r/>
    </w:p>
    <w:p>
      <w:pPr>
        <w:pStyle w:val="824"/>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rPr>
      </w:pPr>
      <w:r/>
      <w:bookmarkStart w:id="6" w:name="_Toc35393621"/>
      <w:r/>
      <w:bookmarkStart w:id="7" w:name="_Toc38985263"/>
      <w:r/>
      <w:bookmarkStart w:id="8" w:name="_Toc28359002"/>
      <w:r/>
      <w:bookmarkStart w:id="9" w:name="_Hlk24379207"/>
      <w:r/>
      <w:bookmarkStart w:id="10" w:name="_Toc28359079"/>
      <w:r/>
      <w:bookmarkStart w:id="11" w:name="_Toc35393790"/>
      <w:r>
        <w:rPr>
          <w:rFonts w:hint="eastAsia" w:ascii="宋体" w:hAnsi="宋体" w:eastAsia="宋体" w:cs="宋体"/>
          <w:b/>
          <w:color w:val="auto"/>
          <w:sz w:val="24"/>
          <w:szCs w:val="24"/>
          <w:highlight w:val="none"/>
          <w:shd w:val="clear" w:color="auto" w:fill="auto"/>
        </w:rPr>
        <w:t xml:space="preserve">一、项目基本情况</w:t>
      </w:r>
      <w:bookmarkEnd w:id="6"/>
      <w:r/>
      <w:bookmarkEnd w:id="7"/>
      <w:r/>
      <w:bookmarkEnd w:id="8"/>
      <w:r/>
      <w:bookmarkEnd w:id="9"/>
      <w:r/>
      <w:bookmarkEnd w:id="10"/>
      <w:r/>
      <w:bookmarkEnd w:id="11"/>
      <w:r/>
      <w:r/>
    </w:p>
    <w:p>
      <w:pPr>
        <w:pStyle w:val="824"/>
        <w:ind w:firstLine="480"/>
        <w:jc w:val="both"/>
        <w:spacing w:beforeAutospacing="0" w:afterAutospacing="0"/>
        <w:rPr>
          <w:rFonts w:hint="eastAsia" w:ascii="宋体" w:hAnsi="宋体" w:eastAsia="宋体" w:cs="宋体"/>
          <w:color w:val="auto"/>
          <w:sz w:val="24"/>
          <w:szCs w:val="24"/>
          <w:highlight w:val="none"/>
          <w:shd w:val="clear" w:color="auto" w:fill="auto"/>
        </w:rPr>
      </w:pPr>
      <w:r/>
      <w:bookmarkStart w:id="12" w:name="_Toc35393791"/>
      <w:r/>
      <w:bookmarkStart w:id="13" w:name="_Toc38985264"/>
      <w:r/>
      <w:bookmarkStart w:id="14" w:name="_Toc35393622"/>
      <w:r/>
      <w:bookmarkStart w:id="15" w:name="_Toc28359003"/>
      <w:r/>
      <w:bookmarkStart w:id="16" w:name="_Toc28359080"/>
      <w:r>
        <w:rPr>
          <w:rFonts w:hint="eastAsia" w:ascii="宋体" w:hAnsi="宋体" w:eastAsia="宋体" w:cs="宋体"/>
          <w:color w:val="auto"/>
          <w:sz w:val="24"/>
          <w:szCs w:val="24"/>
          <w:highlight w:val="none"/>
          <w:shd w:val="clear" w:color="auto" w:fill="auto"/>
        </w:rPr>
        <w:t xml:space="preserve">1.项目编号：</w:t>
      </w:r>
      <w:r>
        <w:rPr>
          <w:rFonts w:ascii="Arial" w:hAnsi="Arial" w:eastAsia="Arial" w:cs="Arial"/>
          <w:color w:val="000000"/>
          <w:sz w:val="21"/>
          <w:highlight w:val="white"/>
        </w:rPr>
        <w:t xml:space="preserve">JSZC-320921-JZCG-D2025-0012</w:t>
      </w:r>
      <w:r>
        <w:rPr>
          <w:rFonts w:hint="eastAsia" w:ascii="宋体" w:hAnsi="宋体" w:eastAsia="宋体" w:cs="宋体"/>
          <w:color w:val="auto"/>
          <w:sz w:val="24"/>
          <w:szCs w:val="24"/>
          <w:highlight w:val="none"/>
          <w:shd w:val="clear" w:color="auto" w:fill="auto"/>
        </w:rPr>
      </w:r>
      <w:r/>
    </w:p>
    <w:p>
      <w:pPr>
        <w:pStyle w:val="824"/>
        <w:ind w:firstLine="480"/>
        <w:jc w:val="both"/>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2.项目名称：响水县国企资产清查和行政事业单位公物仓系统建设项目</w:t>
      </w:r>
      <w:r/>
    </w:p>
    <w:p>
      <w:pPr>
        <w:pStyle w:val="824"/>
        <w:ind w:firstLine="480"/>
        <w:jc w:val="both"/>
        <w:spacing w:beforeAutospacing="0" w:afterAutospacing="0"/>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auto"/>
        </w:rPr>
        <w:t xml:space="preserve">采购方式：</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单一来源采购</w:t>
      </w:r>
      <w:r/>
    </w:p>
    <w:p>
      <w:pPr>
        <w:pStyle w:val="824"/>
        <w:ind w:firstLine="480"/>
        <w:jc w:val="both"/>
        <w:spacing w:beforeAutospacing="0" w:afterAutospacing="0"/>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4.预算金额：230万元</w:t>
      </w:r>
      <w:r/>
    </w:p>
    <w:p>
      <w:pPr>
        <w:pStyle w:val="824"/>
        <w:ind w:firstLine="480"/>
        <w:jc w:val="both"/>
        <w:spacing w:beforeAutospacing="0" w:afterAutospacing="0"/>
        <w:rPr>
          <w:rFonts w:hint="default" w:ascii="宋体" w:hAnsi="宋体" w:eastAsia="宋体" w:cs="宋体"/>
          <w:color w:val="auto"/>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auto"/>
        </w:rPr>
        <w:t xml:space="preserve">最高限价（如有）：</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230万元</w:t>
      </w:r>
      <w:r/>
    </w:p>
    <w:p>
      <w:pPr>
        <w:pStyle w:val="824"/>
        <w:ind w:firstLine="480"/>
        <w:jc w:val="both"/>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6</w:t>
      </w:r>
      <w:r>
        <w:rPr>
          <w:rFonts w:hint="eastAsia" w:ascii="宋体" w:hAnsi="宋体" w:eastAsia="宋体" w:cs="宋体"/>
          <w:i w:val="0"/>
          <w:iCs w:val="0"/>
          <w:caps w:val="0"/>
          <w:color w:val="auto"/>
          <w:spacing w:val="0"/>
          <w:sz w:val="24"/>
          <w:szCs w:val="24"/>
          <w:highlight w:val="none"/>
          <w:shd w:val="clear" w:color="auto" w:fill="auto"/>
        </w:rPr>
        <w:t xml:space="preserve">.采购需求（简介）：</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为全面提升县属国企数字化水平，筑牢国资监管决策根基，健全完善国资监管体系，在项目一期成果基础上，进行深度功能扩展、性能优化以及系统集成。拟开展响水县国企资产清查和行政事业单位公物仓系统建设项目。</w:t>
      </w:r>
      <w:r>
        <w:rPr>
          <w:rFonts w:hint="eastAsia" w:ascii="宋体" w:hAnsi="宋体" w:eastAsia="宋体" w:cs="宋体"/>
          <w:color w:val="auto"/>
          <w:sz w:val="24"/>
          <w:szCs w:val="24"/>
          <w:highlight w:val="none"/>
          <w:shd w:val="clear" w:color="auto" w:fill="auto"/>
        </w:rPr>
        <w:t xml:space="preserve">（详细内容见本</w:t>
      </w:r>
      <w:r>
        <w:rPr>
          <w:rFonts w:hint="eastAsia" w:ascii="宋体" w:hAnsi="宋体" w:eastAsia="宋体" w:cs="宋体"/>
          <w:color w:val="auto"/>
          <w:sz w:val="24"/>
          <w:szCs w:val="24"/>
          <w:highlight w:val="none"/>
          <w:shd w:val="clear" w:color="auto" w:fill="auto"/>
          <w:lang w:val="en-US" w:eastAsia="zh-CN"/>
        </w:rPr>
        <w:t xml:space="preserve">单一来源</w:t>
      </w:r>
      <w:r>
        <w:rPr>
          <w:rFonts w:hint="eastAsia" w:ascii="宋体" w:hAnsi="宋体" w:eastAsia="宋体" w:cs="宋体"/>
          <w:color w:val="auto"/>
          <w:sz w:val="24"/>
          <w:szCs w:val="24"/>
          <w:highlight w:val="none"/>
          <w:shd w:val="clear" w:color="auto" w:fill="auto"/>
        </w:rPr>
        <w:t xml:space="preserve">文件第四章）</w:t>
      </w:r>
      <w:r/>
    </w:p>
    <w:p>
      <w:pPr>
        <w:pStyle w:val="824"/>
        <w:ind w:firstLine="480"/>
        <w:jc w:val="both"/>
        <w:spacing w:beforeAutospacing="0" w:afterAutospacing="0"/>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7</w:t>
      </w:r>
      <w:r>
        <w:rPr>
          <w:rFonts w:hint="eastAsia" w:ascii="宋体" w:hAnsi="宋体" w:eastAsia="宋体" w:cs="宋体"/>
          <w:i w:val="0"/>
          <w:iCs w:val="0"/>
          <w:caps w:val="0"/>
          <w:color w:val="auto"/>
          <w:spacing w:val="0"/>
          <w:sz w:val="24"/>
          <w:szCs w:val="24"/>
          <w:highlight w:val="none"/>
          <w:shd w:val="clear" w:color="auto" w:fill="auto"/>
        </w:rPr>
        <w:t xml:space="preserve">.合同履行期限：</w:t>
      </w:r>
      <w:r>
        <w:rPr>
          <w:rFonts w:hint="eastAsia" w:cs="Arial" w:asciiTheme="minorEastAsia" w:hAnsiTheme="minorEastAsia" w:eastAsiaTheme="minorEastAsia"/>
          <w:sz w:val="24"/>
          <w:lang w:val="en-US" w:eastAsia="zh-CN"/>
        </w:rPr>
        <w:t xml:space="preserve">合同签订后一个月完成系统建设交付采购人正常使用</w:t>
      </w:r>
      <w:r>
        <w:rPr>
          <w:rFonts w:hint="eastAsia" w:cs="Arial" w:asciiTheme="minorEastAsia" w:hAnsiTheme="minorEastAsia"/>
          <w:sz w:val="24"/>
          <w:lang w:val="en-US" w:eastAsia="zh-CN"/>
        </w:rPr>
        <w:t xml:space="preserve">。</w:t>
      </w:r>
      <w:r/>
    </w:p>
    <w:p>
      <w:pPr>
        <w:pStyle w:val="824"/>
        <w:ind w:firstLine="480"/>
        <w:jc w:val="both"/>
        <w:spacing w:beforeAutospacing="0"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8.本项目不接受联合体参与单一来源采购活动。</w:t>
      </w:r>
      <w:r/>
    </w:p>
    <w:p>
      <w:pPr>
        <w:pStyle w:val="824"/>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二、</w:t>
      </w:r>
      <w:bookmarkEnd w:id="12"/>
      <w:r/>
      <w:bookmarkEnd w:id="13"/>
      <w:r/>
      <w:bookmarkEnd w:id="14"/>
      <w:r/>
      <w:bookmarkEnd w:id="15"/>
      <w:r/>
      <w:bookmarkEnd w:id="16"/>
      <w:r>
        <w:rPr>
          <w:rFonts w:hint="eastAsia" w:ascii="宋体" w:hAnsi="宋体" w:eastAsia="宋体" w:cs="宋体"/>
          <w:b/>
          <w:color w:val="auto"/>
          <w:sz w:val="24"/>
          <w:szCs w:val="24"/>
          <w:highlight w:val="none"/>
          <w:shd w:val="clear" w:color="auto" w:fill="auto"/>
        </w:rPr>
        <w:t xml:space="preserve">合格单一来源供应商资格要求</w:t>
      </w:r>
      <w:r/>
    </w:p>
    <w:p>
      <w:pPr>
        <w:pStyle w:val="824"/>
        <w:ind w:firstLine="480"/>
        <w:jc w:val="both"/>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1.满足《中华人民共和国政府采购法》第二十二条规定，并提供下列材料：</w:t>
      </w:r>
      <w:r/>
    </w:p>
    <w:p>
      <w:pPr>
        <w:pStyle w:val="824"/>
        <w:ind w:firstLine="480"/>
        <w:jc w:val="both"/>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 法人或者其他组织的营业执照等证明文件，自然人的身份证明；</w:t>
      </w:r>
      <w:r/>
    </w:p>
    <w:p>
      <w:pPr>
        <w:pStyle w:val="824"/>
        <w:ind w:firstLine="480"/>
        <w:jc w:val="both"/>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1.2上一年度的财务状况报</w:t>
      </w:r>
      <w:r>
        <w:rPr>
          <w:rFonts w:hint="eastAsia" w:ascii="宋体" w:hAnsi="宋体" w:eastAsia="宋体" w:cs="宋体"/>
          <w:color w:val="auto"/>
          <w:sz w:val="24"/>
          <w:szCs w:val="24"/>
          <w:highlight w:val="none"/>
          <w:shd w:val="clear" w:color="auto" w:fill="auto"/>
          <w:lang w:val="en-US" w:eastAsia="zh-CN"/>
        </w:rPr>
        <w:t xml:space="preserve">告</w:t>
      </w:r>
      <w:r>
        <w:rPr>
          <w:rFonts w:hint="eastAsia" w:ascii="宋体" w:hAnsi="宋体" w:eastAsia="宋体" w:cs="宋体"/>
          <w:color w:val="auto"/>
          <w:sz w:val="24"/>
          <w:szCs w:val="24"/>
          <w:highlight w:val="none"/>
          <w:shd w:val="clear" w:color="auto" w:fill="auto"/>
        </w:rPr>
        <w:t xml:space="preserve">（成立不满一年无需提供）；</w:t>
      </w:r>
      <w:r/>
    </w:p>
    <w:p>
      <w:pPr>
        <w:pStyle w:val="824"/>
        <w:ind w:firstLine="480"/>
        <w:jc w:val="both"/>
        <w:spacing w:beforeAutospacing="0" w:afterAutospacing="0"/>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1.3</w:t>
      </w:r>
      <w:r>
        <w:rPr>
          <w:rFonts w:hint="eastAsia" w:ascii="宋体" w:hAnsi="宋体" w:eastAsia="宋体" w:cs="宋体"/>
          <w:color w:val="auto"/>
          <w:sz w:val="24"/>
          <w:szCs w:val="24"/>
          <w:highlight w:val="none"/>
          <w:shd w:val="clear" w:color="auto" w:fill="auto"/>
        </w:rPr>
        <w:t xml:space="preserve">具备履行合同所必需的设备和专业技术能力的书面声明；</w:t>
      </w:r>
      <w:r/>
    </w:p>
    <w:p>
      <w:pPr>
        <w:pStyle w:val="824"/>
        <w:ind w:firstLine="480"/>
        <w:jc w:val="both"/>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24"/>
        <w:ind w:firstLine="480"/>
        <w:jc w:val="both"/>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rPr>
        <w:t xml:space="preserve">.5参加政府采购活动前3年内在经营活动中没有重大违法记录的书面声明。</w:t>
      </w:r>
      <w:r/>
    </w:p>
    <w:p>
      <w:pPr>
        <w:pStyle w:val="824"/>
        <w:ind w:firstLine="480"/>
        <w:jc w:val="both"/>
        <w:spacing w:beforeAutospacing="0" w:afterAutospacing="0"/>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1.6法律、行政法规规定的其他条件。</w:t>
      </w:r>
      <w:r/>
    </w:p>
    <w:p>
      <w:pPr>
        <w:pStyle w:val="824"/>
        <w:ind w:firstLine="480"/>
        <w:jc w:val="both"/>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1.7</w:t>
      </w:r>
      <w:r>
        <w:rPr>
          <w:rFonts w:hint="eastAsia" w:ascii="宋体" w:hAnsi="宋体" w:eastAsia="宋体" w:cs="宋体"/>
          <w:color w:val="auto"/>
          <w:sz w:val="24"/>
          <w:szCs w:val="24"/>
          <w:highlight w:val="none"/>
          <w:shd w:val="clear" w:color="auto" w:fill="auto"/>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24"/>
        <w:ind w:firstLine="480"/>
        <w:jc w:val="both"/>
        <w:spacing w:beforeAutospacing="0"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1.8</w:t>
      </w:r>
      <w:r>
        <w:rPr>
          <w:rFonts w:hint="eastAsia" w:ascii="宋体" w:hAnsi="宋体" w:eastAsia="宋体" w:cs="宋体"/>
          <w:color w:val="auto"/>
          <w:sz w:val="24"/>
          <w:szCs w:val="24"/>
          <w:highlight w:val="none"/>
          <w:shd w:val="clear" w:color="auto" w:fill="auto"/>
        </w:rPr>
        <w:t xml:space="preserve">单位负责人为同一人或者存在直接控股、</w:t>
      </w:r>
      <w:r>
        <w:rPr>
          <w:rFonts w:hint="eastAsia" w:ascii="宋体" w:hAnsi="宋体" w:eastAsia="宋体" w:cs="宋体"/>
          <w:color w:val="auto"/>
          <w:sz w:val="24"/>
          <w:szCs w:val="24"/>
          <w:highlight w:val="none"/>
          <w:shd w:val="clear" w:color="auto" w:fill="auto"/>
          <w:lang w:val="en-US" w:eastAsia="zh-CN"/>
        </w:rPr>
        <w:t xml:space="preserve">管理</w:t>
      </w:r>
      <w:r>
        <w:rPr>
          <w:rFonts w:hint="eastAsia" w:ascii="宋体" w:hAnsi="宋体" w:eastAsia="宋体" w:cs="宋体"/>
          <w:color w:val="auto"/>
          <w:sz w:val="24"/>
          <w:szCs w:val="24"/>
          <w:highlight w:val="none"/>
          <w:shd w:val="clear" w:color="auto" w:fill="auto"/>
        </w:rPr>
        <w:t xml:space="preserve">关系的不同供应商，不得参加同一合同项下的政府采购活动。</w:t>
      </w:r>
      <w:r/>
    </w:p>
    <w:p>
      <w:pPr>
        <w:pStyle w:val="824"/>
        <w:numPr>
          <w:ilvl w:val="0"/>
          <w:numId w:val="1"/>
        </w:numPr>
        <w:ind w:left="0" w:right="0" w:firstLine="560"/>
        <w:jc w:val="both"/>
        <w:keepLines w:val="0"/>
        <w:keepNext w:val="0"/>
        <w:spacing w:before="0" w:beforeAutospacing="0" w:after="0" w:afterAutospacing="0"/>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rPr>
        <w:t xml:space="preserve">落实政府采购政策需满足的资格要求：本项目专门面向中小企业采购。采购标的所属行业为</w:t>
      </w:r>
      <w:r>
        <w:rPr>
          <w:rFonts w:hint="eastAsia" w:ascii="宋体" w:hAnsi="宋体" w:cs="宋体"/>
          <w:b/>
          <w:bCs/>
          <w:sz w:val="24"/>
          <w:u w:val="single"/>
          <w:lang w:val="en-US" w:eastAsia="zh-CN"/>
        </w:rPr>
        <w:t xml:space="preserve">软件和信息技术服务业</w:t>
      </w:r>
      <w:r>
        <w:rPr>
          <w:rFonts w:hint="eastAsia" w:ascii="宋体" w:hAnsi="宋体" w:eastAsia="宋体" w:cs="宋体"/>
          <w:color w:val="auto"/>
          <w:sz w:val="24"/>
          <w:szCs w:val="24"/>
          <w:highlight w:val="none"/>
          <w:shd w:val="clear" w:color="auto" w:fill="auto"/>
        </w:rPr>
        <w:t xml:space="preserve">，投标人需按照采购文件的要求提供相应的《中小企业声明函》。企业标准请参照《关于印发中小企业划型标准规定的通知》（工信部联企业[2011]300号）文件规定自行填写。</w:t>
      </w:r>
      <w:r/>
    </w:p>
    <w:p>
      <w:pPr>
        <w:pStyle w:val="824"/>
        <w:numPr>
          <w:ilvl w:val="0"/>
          <w:numId w:val="1"/>
        </w:numPr>
        <w:ind w:left="0" w:right="0" w:firstLine="560"/>
        <w:jc w:val="both"/>
        <w:keepLines w:val="0"/>
        <w:keepNext w:val="0"/>
        <w:spacing w:before="0" w:beforeAutospacing="0" w:after="0" w:afterAutospacing="0"/>
        <w:shd w:val="clear" w:color="auto" w:fill="ffffff"/>
        <w:widowControl/>
        <w:rPr>
          <w:rFonts w:hint="default" w:ascii="宋体" w:hAnsi="宋体" w:eastAsia="宋体" w:cs="宋体"/>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本项目的特定资格要求</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无</w:t>
      </w:r>
      <w:r/>
    </w:p>
    <w:p>
      <w:pPr>
        <w:pStyle w:val="824"/>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三、获取</w:t>
      </w:r>
      <w:r>
        <w:rPr>
          <w:rFonts w:hint="eastAsia" w:ascii="宋体" w:hAnsi="宋体" w:eastAsia="宋体" w:cs="宋体"/>
          <w:b/>
          <w:color w:val="auto"/>
          <w:sz w:val="24"/>
          <w:szCs w:val="24"/>
          <w:highlight w:val="none"/>
          <w:shd w:val="clear" w:color="auto" w:fill="auto"/>
          <w:lang w:val="en-US" w:eastAsia="zh-CN"/>
        </w:rPr>
        <w:t xml:space="preserve">单一来源</w:t>
      </w:r>
      <w:r>
        <w:rPr>
          <w:rFonts w:hint="eastAsia" w:ascii="宋体" w:hAnsi="宋体" w:eastAsia="宋体" w:cs="宋体"/>
          <w:b/>
          <w:color w:val="auto"/>
          <w:sz w:val="24"/>
          <w:szCs w:val="24"/>
          <w:highlight w:val="none"/>
          <w:shd w:val="clear" w:color="auto" w:fill="auto"/>
        </w:rPr>
        <w:t xml:space="preserve">文件</w:t>
      </w:r>
      <w:r/>
    </w:p>
    <w:p>
      <w:pPr>
        <w:pStyle w:val="824"/>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rPr>
        <w:t xml:space="preserve">1.时间：</w:t>
      </w:r>
      <w:r>
        <w:rPr>
          <w:rFonts w:hint="eastAsia" w:ascii="宋体" w:hAnsi="宋体" w:eastAsia="宋体" w:cs="宋体"/>
          <w:color w:val="auto"/>
          <w:sz w:val="24"/>
          <w:szCs w:val="24"/>
          <w:highlight w:val="none"/>
          <w:shd w:val="clear" w:color="auto" w:fill="auto"/>
          <w:lang w:val="en-US" w:eastAsia="zh-CN"/>
        </w:rPr>
        <w:t xml:space="preserve">自采购文件在苏采云系统发布之日起至投标截止时间前。</w:t>
      </w:r>
      <w:r/>
    </w:p>
    <w:p>
      <w:pPr>
        <w:ind w:firstLine="480"/>
        <w:jc w:val="left"/>
        <w:keepLines w:val="0"/>
        <w:keepNext w:val="0"/>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2.地点：“苏采云”系统内免费下载（投标人必须在苏采云系统中获取采购文件，方能参与政府采购项目）；</w:t>
      </w:r>
      <w:r/>
    </w:p>
    <w:p>
      <w:pPr>
        <w:ind w:firstLine="480"/>
        <w:jc w:val="left"/>
        <w:keepLines w:val="0"/>
        <w:keepNext w:val="0"/>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3.方式：本项目采用网上注册登记方式。 </w:t>
      </w:r>
      <w:r/>
    </w:p>
    <w:p>
      <w:pPr>
        <w:ind w:firstLine="480"/>
        <w:jc w:val="left"/>
        <w:spacing w:line="560" w:lineRule="exact"/>
        <w:widowControl/>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4.售价：0元</w:t>
      </w:r>
      <w:r/>
    </w:p>
    <w:p>
      <w:pPr>
        <w:pStyle w:val="824"/>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rPr>
      </w:pPr>
      <w:r/>
      <w:bookmarkStart w:id="17" w:name="_Toc38985266"/>
      <w:r/>
      <w:bookmarkStart w:id="18" w:name="_Toc35393624"/>
      <w:r/>
      <w:bookmarkStart w:id="19" w:name="_Toc35393793"/>
      <w:r/>
      <w:bookmarkStart w:id="20" w:name="_Toc28359005"/>
      <w:r/>
      <w:bookmarkStart w:id="21" w:name="_Toc28359082"/>
      <w:r>
        <w:rPr>
          <w:rFonts w:hint="eastAsia" w:ascii="宋体" w:hAnsi="宋体" w:eastAsia="宋体" w:cs="宋体"/>
          <w:b/>
          <w:color w:val="auto"/>
          <w:sz w:val="24"/>
          <w:szCs w:val="24"/>
          <w:highlight w:val="none"/>
          <w:shd w:val="clear" w:color="auto" w:fill="auto"/>
        </w:rPr>
        <w:t xml:space="preserve">三、提交</w:t>
      </w:r>
      <w:bookmarkEnd w:id="17"/>
      <w:r/>
      <w:bookmarkEnd w:id="18"/>
      <w:r>
        <w:rPr>
          <w:rFonts w:hint="eastAsia" w:ascii="宋体" w:hAnsi="宋体" w:eastAsia="宋体" w:cs="宋体"/>
          <w:b/>
          <w:color w:val="auto"/>
          <w:sz w:val="24"/>
          <w:szCs w:val="24"/>
          <w:highlight w:val="none"/>
          <w:shd w:val="clear" w:color="auto" w:fill="auto"/>
        </w:rPr>
        <w:t xml:space="preserve">响应文件截止时间</w:t>
      </w:r>
      <w:bookmarkEnd w:id="19"/>
      <w:r/>
      <w:bookmarkEnd w:id="20"/>
      <w:r/>
      <w:bookmarkEnd w:id="21"/>
      <w:r/>
      <w:r/>
    </w:p>
    <w:p>
      <w:pPr>
        <w:pStyle w:val="824"/>
        <w:ind w:firstLine="480"/>
        <w:jc w:val="both"/>
        <w:spacing w:beforeAutospacing="0" w:afterAutospacing="0"/>
        <w:rPr>
          <w:rFonts w:hint="eastAsia" w:ascii="宋体" w:hAnsi="宋体" w:eastAsia="宋体" w:cs="宋体"/>
          <w:color w:val="auto"/>
          <w:sz w:val="24"/>
          <w:szCs w:val="24"/>
          <w:highlight w:val="none"/>
          <w:shd w:val="clear" w:color="auto" w:fill="auto"/>
        </w:rPr>
      </w:pPr>
      <w:r/>
      <w:bookmarkStart w:id="22" w:name="_Toc35393796"/>
      <w:r/>
      <w:bookmarkStart w:id="23" w:name="_Toc38985269"/>
      <w:r/>
      <w:bookmarkStart w:id="24" w:name="_Toc28359008"/>
      <w:r/>
      <w:bookmarkStart w:id="25" w:name="_Toc35393627"/>
      <w:r/>
      <w:bookmarkStart w:id="26" w:name="_Toc28359085"/>
      <w:r>
        <w:rPr>
          <w:rFonts w:hint="eastAsia" w:ascii="宋体" w:hAnsi="宋体" w:eastAsia="宋体" w:cs="宋体"/>
          <w:i w:val="0"/>
          <w:iCs w:val="0"/>
          <w:caps w:val="0"/>
          <w:color w:val="auto"/>
          <w:spacing w:val="0"/>
          <w:sz w:val="24"/>
          <w:szCs w:val="24"/>
          <w:highlight w:val="none"/>
          <w:shd w:val="clear" w:color="auto" w:fill="auto"/>
        </w:rPr>
        <w:t xml:space="preserve">1.截止时间：</w:t>
      </w:r>
      <w:r>
        <w:rPr>
          <w:rFonts w:hint="eastAsia" w:ascii="宋体" w:hAnsi="宋体" w:eastAsia="宋体" w:cs="宋体"/>
          <w:color w:val="auto"/>
          <w:sz w:val="24"/>
          <w:szCs w:val="24"/>
          <w:highlight w:val="none"/>
          <w:u w:val="single"/>
          <w:shd w:val="clear" w:color="auto" w:fill="auto"/>
        </w:rPr>
        <w:t xml:space="preserve">2025年12月17日15点00分</w:t>
      </w:r>
      <w:r>
        <w:rPr>
          <w:rFonts w:hint="eastAsia" w:ascii="宋体" w:hAnsi="宋体" w:eastAsia="宋体" w:cs="宋体"/>
          <w:color w:val="auto"/>
          <w:sz w:val="24"/>
          <w:szCs w:val="24"/>
          <w:highlight w:val="none"/>
          <w:shd w:val="clear" w:color="auto" w:fill="auto"/>
        </w:rPr>
        <w:t xml:space="preserve">（北京时间）。</w:t>
      </w:r>
      <w:r/>
    </w:p>
    <w:p>
      <w:pPr>
        <w:pStyle w:val="824"/>
        <w:ind w:firstLine="480"/>
        <w:jc w:val="both"/>
        <w:spacing w:beforeAutospacing="0" w:afterAutospacing="0"/>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2.地点：</w:t>
      </w:r>
      <w:r>
        <w:rPr>
          <w:rFonts w:hint="eastAsia" w:ascii="宋体" w:hAnsi="宋体" w:eastAsia="宋体" w:cs="宋体"/>
          <w:color w:val="auto"/>
          <w:sz w:val="24"/>
          <w:szCs w:val="24"/>
          <w:highlight w:val="none"/>
          <w:shd w:val="clear" w:color="auto" w:fill="auto"/>
        </w:rPr>
        <w:t xml:space="preserve">苏采云“不见面”开标大厅 </w:t>
      </w:r>
      <w:r>
        <w:rPr>
          <w:rFonts w:hint="eastAsia" w:ascii="宋体" w:hAnsi="宋体" w:eastAsia="宋体" w:cs="宋体"/>
          <w:color w:val="auto"/>
          <w:sz w:val="24"/>
          <w:szCs w:val="24"/>
          <w:highlight w:val="none"/>
          <w:shd w:val="clear" w:color="auto" w:fill="auto"/>
          <w:lang w:eastAsia="zh-CN"/>
        </w:rPr>
        <w:t xml:space="preserve">。</w:t>
      </w:r>
      <w:r/>
    </w:p>
    <w:p>
      <w:pPr>
        <w:pStyle w:val="824"/>
        <w:ind w:firstLine="498"/>
        <w:jc w:val="both"/>
        <w:keepLines/>
        <w:keepNext/>
        <w:spacing w:before="145" w:beforeAutospacing="0" w:after="145" w:afterAutospacing="0" w:line="360" w:lineRule="auto"/>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rPr>
        <w:t xml:space="preserve">四、</w:t>
      </w:r>
      <w:r>
        <w:rPr>
          <w:rFonts w:hint="eastAsia" w:ascii="宋体" w:hAnsi="宋体" w:eastAsia="宋体" w:cs="宋体"/>
          <w:b/>
          <w:color w:val="auto"/>
          <w:sz w:val="24"/>
          <w:szCs w:val="24"/>
          <w:highlight w:val="none"/>
          <w:shd w:val="clear" w:color="auto" w:fill="auto"/>
          <w:lang w:val="en-US" w:eastAsia="zh-CN"/>
        </w:rPr>
        <w:t xml:space="preserve">其他</w:t>
      </w:r>
      <w:bookmarkEnd w:id="22"/>
      <w:r/>
      <w:bookmarkEnd w:id="23"/>
      <w:r/>
      <w:bookmarkEnd w:id="24"/>
      <w:r/>
      <w:bookmarkEnd w:id="25"/>
      <w:r/>
      <w:bookmarkEnd w:id="26"/>
      <w:r/>
      <w:r/>
    </w:p>
    <w:p>
      <w:pPr>
        <w:pStyle w:val="824"/>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bookmarkStart w:id="27" w:name="_Toc28359086"/>
      <w:r>
        <w:rPr>
          <w:rFonts w:hint="eastAsia" w:ascii="宋体" w:hAnsi="宋体" w:eastAsia="宋体" w:cs="宋体"/>
          <w:color w:val="auto"/>
          <w:sz w:val="24"/>
          <w:szCs w:val="24"/>
          <w:highlight w:val="none"/>
          <w:shd w:val="clear" w:color="auto" w:fill="auto"/>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：在盐城市政府采购网点击【办事指南】-【供应商参与政府采购活动相关资料】。</w:t>
      </w:r>
      <w:r/>
    </w:p>
    <w:p>
      <w:pPr>
        <w:pStyle w:val="824"/>
        <w:ind w:firstLine="480"/>
        <w:jc w:val="both"/>
        <w:spacing w:beforeAutospacing="0" w:afterAutospacing="0" w:line="0" w:lineRule="atLeast"/>
        <w:tabs>
          <w:tab w:val="left" w:pos="90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pStyle w:val="824"/>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bidi="ar-SA"/>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：在盐城市政府采购网点击【办事指南】-【供应商参与政府采购活动相关资料】。</w:t>
      </w:r>
      <w:r/>
    </w:p>
    <w:p>
      <w:pPr>
        <w:ind w:firstLine="480"/>
        <w:jc w:val="left"/>
        <w:keepLines w:val="0"/>
        <w:keepNext w:val="0"/>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2.潜在供应商访问电子招标响应交易平台的网络地址和方法： </w:t>
      </w:r>
      <w:r/>
    </w:p>
    <w:p>
      <w:pPr>
        <w:ind w:firstLine="480"/>
        <w:jc w:val="left"/>
        <w:keepLines w:val="0"/>
        <w:keepNext w:val="0"/>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2.2 潜在投标人访问“苏采云”系统方法：江苏省政府采购网首页-“苏采云”链接。 </w:t>
      </w:r>
      <w:r/>
    </w:p>
    <w:p>
      <w:pPr>
        <w:ind w:firstLine="480"/>
        <w:jc w:val="left"/>
        <w:keepLines w:val="0"/>
        <w:keepNext w:val="0"/>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2.3 采购文件（后缀名为“.kedt”）、供应商操作手册及政府采购客户端 工具可通过“苏采云”系统相应链接进行下载。 </w:t>
      </w:r>
      <w:r/>
    </w:p>
    <w:p>
      <w:pPr>
        <w:ind w:firstLine="480"/>
        <w:jc w:val="left"/>
        <w:keepLines w:val="0"/>
        <w:keepNext w:val="0"/>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2.4 采购代理机构将数据电文形式的采购文件加载至“苏采云”系统，供潜在供应商下载或者查阅。 </w:t>
      </w:r>
      <w:r/>
    </w:p>
    <w:p>
      <w:pPr>
        <w:ind w:firstLine="480"/>
        <w:jc w:val="left"/>
        <w:keepLines w:val="0"/>
        <w:keepNext w:val="0"/>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如潜在投标人未按上述要求操作，将自行承担所产生的风险。</w:t>
      </w:r>
      <w:r/>
    </w:p>
    <w:p>
      <w:pPr>
        <w:pStyle w:val="824"/>
        <w:ind w:firstLine="480"/>
        <w:jc w:val="both"/>
        <w:spacing w:beforeAutospacing="0" w:afterAutospacing="0" w:line="0" w:lineRule="atLeast"/>
        <w:tabs>
          <w:tab w:val="left" w:pos="90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lang w:val="en-US" w:eastAsia="zh-CN" w:bidi="ar-SA"/>
        </w:rPr>
        <w:t xml:space="preserve">. 本次单一来源采购不收取投标保证金，不收取质量保证金。</w:t>
      </w:r>
      <w:r/>
    </w:p>
    <w:p>
      <w:pPr>
        <w:pStyle w:val="815"/>
        <w:ind w:left="0" w:right="0" w:firstLine="0"/>
        <w:jc w:val="both"/>
        <w:keepLines w:val="0"/>
        <w:keepNext w:val="0"/>
        <w:spacing w:before="0" w:beforeAutospacing="0" w:after="0" w:afterAutospacing="0" w:line="23" w:lineRule="atLeast"/>
        <w:shd w:val="clear" w:color="auto" w:fill="ffffff"/>
        <w:widowControl/>
        <w:rPr>
          <w:rFonts w:hint="eastAsia" w:ascii="宋体" w:hAnsi="宋体" w:eastAsia="宋体" w:cs="宋体"/>
          <w:b/>
          <w:bCs w:val="0"/>
          <w:color w:val="auto"/>
          <w:sz w:val="24"/>
          <w:szCs w:val="24"/>
          <w:highlight w:val="none"/>
          <w:shd w:val="clear" w:color="auto" w:fill="auto"/>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rPr>
        <w:t xml:space="preserve"> </w:t>
      </w:r>
      <w:r>
        <w:rPr>
          <w:rFonts w:hint="eastAsia" w:ascii="宋体" w:hAnsi="宋体" w:eastAsia="宋体" w:cs="宋体"/>
          <w:b/>
          <w:bCs w:val="0"/>
          <w:color w:val="auto"/>
          <w:sz w:val="24"/>
          <w:szCs w:val="24"/>
          <w:highlight w:val="none"/>
          <w:shd w:val="clear" w:color="auto" w:fill="auto"/>
          <w:lang w:val="en-US" w:eastAsia="zh-CN" w:bidi="ar-SA"/>
        </w:rPr>
        <w:t xml:space="preserve">五、凡对本次采购提出询问，请按以下方式联系。</w:t>
      </w:r>
      <w:r/>
    </w:p>
    <w:p>
      <w:pPr>
        <w:jc w:val="left"/>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1、采购人信息 </w:t>
      </w:r>
      <w:r/>
    </w:p>
    <w:p>
      <w:pPr>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名 称</w:t>
      </w:r>
      <w:r>
        <w:rPr>
          <w:rFonts w:hint="eastAsia" w:ascii="宋体" w:hAnsi="宋体" w:cs="宋体"/>
          <w:color w:val="000000"/>
          <w:sz w:val="24"/>
          <w:szCs w:val="24"/>
          <w:highlight w:val="none"/>
        </w:rPr>
        <w:t xml:space="preserve">：响水县</w:t>
      </w:r>
      <w:r>
        <w:rPr>
          <w:rFonts w:hint="eastAsia" w:ascii="宋体" w:hAnsi="宋体" w:cs="宋体"/>
          <w:color w:val="000000"/>
          <w:sz w:val="24"/>
          <w:szCs w:val="24"/>
          <w:highlight w:val="none"/>
          <w:lang w:val="en-US" w:eastAsia="zh-CN"/>
        </w:rPr>
        <w:t xml:space="preserve">财政局</w:t>
      </w:r>
      <w:r>
        <w:rPr>
          <w:rFonts w:hint="eastAsia" w:ascii="宋体" w:hAnsi="宋体" w:cs="宋体"/>
          <w:color w:val="000000"/>
          <w:sz w:val="24"/>
          <w:szCs w:val="24"/>
          <w:highlight w:val="none"/>
        </w:rPr>
        <w:t xml:space="preserve"> </w:t>
      </w:r>
      <w:r/>
    </w:p>
    <w:p>
      <w:pPr>
        <w:jc w:val="left"/>
        <w:spacing w:line="360" w:lineRule="auto"/>
        <w:widowControl/>
        <w:rPr>
          <w:rFonts w:hint="default" w:ascii="宋体" w:hAnsi="宋体" w:cs="宋体" w:eastAsiaTheme="minorEastAsia"/>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单位地址：响水县双元中路26号</w:t>
      </w:r>
      <w:r/>
    </w:p>
    <w:p>
      <w:pPr>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联 系 人：</w:t>
      </w:r>
      <w:r>
        <w:rPr>
          <w:rFonts w:hint="eastAsia" w:ascii="宋体" w:hAnsi="宋体" w:cs="宋体"/>
          <w:color w:val="000000"/>
          <w:sz w:val="24"/>
          <w:szCs w:val="24"/>
          <w:highlight w:val="none"/>
          <w:lang w:val="en-US" w:eastAsia="zh-CN"/>
        </w:rPr>
        <w:t xml:space="preserve">周先生</w:t>
      </w:r>
      <w:r/>
    </w:p>
    <w:p>
      <w:pPr>
        <w:jc w:val="left"/>
        <w:spacing w:line="360" w:lineRule="auto"/>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联系电话：15949118090</w:t>
      </w:r>
      <w:r/>
    </w:p>
    <w:p>
      <w:pPr>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jc w:val="left"/>
        <w:spacing w:line="360" w:lineRule="auto"/>
        <w:widowControl/>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2.采购代理机构信息（如有）</w:t>
      </w:r>
      <w:r/>
    </w:p>
    <w:p>
      <w:pPr>
        <w:jc w:val="left"/>
        <w:spacing w:line="360" w:lineRule="auto"/>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单位名称：响水县公共资源交易中心（响水县政府采购中心）</w:t>
      </w:r>
      <w:r/>
    </w:p>
    <w:p>
      <w:pPr>
        <w:jc w:val="left"/>
        <w:spacing w:line="360" w:lineRule="auto"/>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单位地址：响水县灌江东路1号</w:t>
      </w:r>
      <w:r/>
    </w:p>
    <w:p>
      <w:pPr>
        <w:jc w:val="left"/>
        <w:spacing w:line="360" w:lineRule="auto"/>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联系人：</w:t>
      </w:r>
      <w:r>
        <w:rPr>
          <w:rFonts w:hint="eastAsia" w:ascii="宋体" w:hAnsi="宋体" w:cs="宋体"/>
          <w:color w:val="000000"/>
          <w:sz w:val="24"/>
          <w:szCs w:val="24"/>
          <w:highlight w:val="none"/>
          <w:lang w:val="en-US" w:eastAsia="zh-CN"/>
        </w:rPr>
        <w:t xml:space="preserve">周先生</w:t>
      </w:r>
      <w:r>
        <w:rPr>
          <w:rFonts w:hint="eastAsia" w:ascii="宋体" w:hAnsi="宋体" w:cs="宋体"/>
          <w:color w:val="000000"/>
          <w:sz w:val="24"/>
          <w:szCs w:val="24"/>
          <w:highlight w:val="none"/>
          <w:lang w:val="en-US" w:eastAsia="zh-CN"/>
        </w:rPr>
      </w:r>
      <w:r/>
    </w:p>
    <w:p>
      <w:pPr>
        <w:jc w:val="left"/>
        <w:spacing w:line="360" w:lineRule="auto"/>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联系电话：0515-68782009</w:t>
      </w:r>
      <w:r/>
    </w:p>
    <w:p>
      <w:pPr>
        <w:jc w:val="left"/>
        <w:spacing w:line="360" w:lineRule="auto"/>
        <w:widowControl/>
        <w:rPr>
          <w:rFonts w:hint="eastAsia" w:ascii="宋体" w:hAnsi="宋体" w:cs="宋体"/>
          <w:color w:val="000000"/>
          <w:sz w:val="24"/>
          <w:szCs w:val="24"/>
          <w:highlight w:val="none"/>
          <w:lang w:val="en-US" w:eastAsia="zh-CN"/>
        </w:rPr>
      </w:pPr>
      <w:r>
        <w:rPr>
          <w:rFonts w:hint="eastAsia" w:ascii="宋体" w:hAnsi="宋体" w:cs="宋体"/>
          <w:b/>
          <w:bCs/>
          <w:color w:val="000000"/>
          <w:sz w:val="24"/>
          <w:szCs w:val="24"/>
          <w:highlight w:val="none"/>
          <w:lang w:val="en-US" w:eastAsia="zh-CN"/>
        </w:rPr>
      </w:r>
      <w:r>
        <w:rPr>
          <w:rFonts w:hint="eastAsia" w:ascii="宋体" w:hAnsi="宋体" w:cs="宋体"/>
          <w:b/>
          <w:bCs/>
          <w:color w:val="000000"/>
          <w:sz w:val="24"/>
          <w:szCs w:val="24"/>
          <w:highlight w:val="none"/>
          <w:lang w:val="en-US" w:eastAsia="zh-CN"/>
        </w:rPr>
      </w:r>
      <w:r/>
    </w:p>
    <w:p>
      <w:pPr>
        <w:jc w:val="left"/>
        <w:spacing w:line="360" w:lineRule="auto"/>
        <w:widowControl/>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3.项目联系方式</w:t>
      </w:r>
      <w:r/>
    </w:p>
    <w:p>
      <w:pPr>
        <w:jc w:val="left"/>
        <w:spacing w:line="360" w:lineRule="auto"/>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项目联系人：</w:t>
      </w:r>
      <w:r>
        <w:rPr>
          <w:rFonts w:hint="eastAsia" w:ascii="宋体" w:hAnsi="宋体" w:cs="宋体"/>
          <w:color w:val="000000"/>
          <w:sz w:val="24"/>
          <w:szCs w:val="24"/>
          <w:highlight w:val="none"/>
          <w:lang w:val="en-US" w:eastAsia="zh-CN"/>
        </w:rPr>
        <w:t xml:space="preserve">周先生</w:t>
      </w:r>
      <w:r>
        <w:rPr>
          <w:rFonts w:hint="eastAsia" w:ascii="宋体" w:hAnsi="宋体" w:cs="宋体"/>
          <w:color w:val="000000"/>
          <w:sz w:val="24"/>
          <w:szCs w:val="24"/>
          <w:highlight w:val="none"/>
          <w:lang w:val="en-US" w:eastAsia="zh-CN"/>
        </w:rPr>
      </w:r>
      <w:r/>
    </w:p>
    <w:p>
      <w:pPr>
        <w:jc w:val="left"/>
        <w:spacing w:line="360" w:lineRule="auto"/>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电话：15949118090</w:t>
      </w:r>
      <w:r/>
    </w:p>
    <w:p>
      <w:pPr>
        <w:rPr>
          <w:rFonts w:hint="eastAsia" w:ascii="仿宋" w:hAnsi="仿宋" w:eastAsia="仿宋" w:cs="仿宋"/>
          <w:b/>
          <w:color w:val="auto"/>
          <w:sz w:val="28"/>
          <w:szCs w:val="28"/>
          <w:highlight w:val="none"/>
          <w:shd w:val="clear" w:color="auto" w:fill="auto"/>
        </w:rPr>
      </w:pPr>
      <w:r>
        <w:rPr>
          <w:rFonts w:hint="eastAsia" w:ascii="仿宋" w:hAnsi="仿宋" w:eastAsia="仿宋" w:cs="仿宋"/>
          <w:b/>
          <w:color w:val="auto"/>
          <w:sz w:val="28"/>
          <w:szCs w:val="28"/>
          <w:highlight w:val="none"/>
          <w:shd w:val="clear" w:color="auto" w:fill="auto"/>
        </w:rPr>
        <w:br w:type="page" w:clear="all"/>
      </w:r>
      <w:r/>
    </w:p>
    <w:p>
      <w:pPr>
        <w:pStyle w:val="824"/>
        <w:jc w:val="center"/>
        <w:keepLines/>
        <w:keepNext/>
        <w:spacing w:before="260" w:beforeAutospacing="0" w:after="260" w:afterAutospacing="0" w:line="415" w:lineRule="auto"/>
        <w:rPr>
          <w:color w:val="auto"/>
          <w:highlight w:val="none"/>
          <w:shd w:val="clear" w:color="auto" w:fill="auto"/>
        </w:rPr>
      </w:pPr>
      <w:r/>
      <w:bookmarkStart w:id="28" w:name="_Toc120614211"/>
      <w:r>
        <w:rPr>
          <w:rFonts w:hint="eastAsia" w:ascii="黑体" w:hAnsi="宋体" w:eastAsia="黑体" w:cs="黑体"/>
          <w:b/>
          <w:color w:val="auto"/>
          <w:sz w:val="44"/>
          <w:szCs w:val="44"/>
          <w:highlight w:val="none"/>
          <w:shd w:val="clear" w:color="auto" w:fill="auto"/>
        </w:rPr>
        <w:t xml:space="preserve">第二章  </w:t>
      </w:r>
      <w:bookmarkEnd w:id="28"/>
      <w:r>
        <w:rPr>
          <w:rFonts w:hint="eastAsia" w:ascii="黑体" w:hAnsi="宋体" w:eastAsia="黑体" w:cs="黑体"/>
          <w:b/>
          <w:color w:val="auto"/>
          <w:sz w:val="44"/>
          <w:szCs w:val="44"/>
          <w:highlight w:val="none"/>
          <w:shd w:val="clear" w:color="auto" w:fill="auto"/>
        </w:rPr>
        <w:t xml:space="preserve">供应商须知</w:t>
      </w:r>
      <w:r/>
    </w:p>
    <w:p>
      <w:pPr>
        <w:pStyle w:val="824"/>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rPr>
      </w:pPr>
      <w:r/>
      <w:bookmarkStart w:id="29" w:name="_Toc513029203"/>
      <w:r/>
      <w:bookmarkStart w:id="30" w:name="_Toc120614214"/>
      <w:r/>
      <w:bookmarkStart w:id="31" w:name="_Toc20823275"/>
      <w:r/>
      <w:bookmarkStart w:id="32" w:name="_Toc16938519"/>
      <w:r>
        <w:rPr>
          <w:rFonts w:hint="eastAsia" w:ascii="宋体" w:hAnsi="宋体" w:eastAsia="宋体" w:cs="宋体"/>
          <w:b/>
          <w:color w:val="auto"/>
          <w:sz w:val="24"/>
          <w:szCs w:val="24"/>
          <w:highlight w:val="none"/>
          <w:shd w:val="clear" w:color="auto" w:fill="auto"/>
        </w:rPr>
        <w:t xml:space="preserve">一、总则</w:t>
      </w:r>
      <w:bookmarkEnd w:id="29"/>
      <w:r/>
      <w:bookmarkEnd w:id="30"/>
      <w:r/>
      <w:bookmarkEnd w:id="31"/>
      <w:r/>
      <w:bookmarkEnd w:id="32"/>
      <w:r/>
      <w:r/>
    </w:p>
    <w:p>
      <w:pPr>
        <w:pStyle w:val="824"/>
        <w:ind w:firstLine="420"/>
        <w:jc w:val="both"/>
        <w:keepLines/>
        <w:keepNext/>
        <w:spacing w:beforeAutospacing="0" w:afterAutospacing="0"/>
        <w:rPr>
          <w:rFonts w:hint="eastAsia" w:ascii="宋体" w:hAnsi="宋体" w:eastAsia="宋体" w:cs="宋体"/>
          <w:color w:val="auto"/>
          <w:sz w:val="24"/>
          <w:szCs w:val="24"/>
          <w:highlight w:val="none"/>
          <w:shd w:val="clear" w:color="auto" w:fill="auto"/>
        </w:rPr>
      </w:pPr>
      <w:r/>
      <w:bookmarkStart w:id="33" w:name="_Toc20823276"/>
      <w:r/>
      <w:bookmarkStart w:id="34" w:name="_Toc513029204"/>
      <w:r/>
      <w:bookmarkStart w:id="35" w:name="_Toc458694821"/>
      <w:r/>
      <w:bookmarkStart w:id="36" w:name="_Toc16938520"/>
      <w:r/>
      <w:bookmarkStart w:id="37" w:name="_Hlt16619475"/>
      <w:r>
        <w:rPr>
          <w:rFonts w:hint="eastAsia" w:ascii="宋体" w:hAnsi="宋体" w:eastAsia="宋体" w:cs="宋体"/>
          <w:color w:val="auto"/>
          <w:sz w:val="24"/>
          <w:szCs w:val="24"/>
          <w:highlight w:val="none"/>
          <w:shd w:val="clear" w:color="auto" w:fill="auto"/>
        </w:rPr>
        <w:t xml:space="preserve">1</w:t>
      </w:r>
      <w:bookmarkEnd w:id="33"/>
      <w:r>
        <w:rPr>
          <w:rFonts w:hint="eastAsia" w:ascii="宋体" w:hAnsi="宋体" w:eastAsia="宋体" w:cs="宋体"/>
          <w:color w:val="auto"/>
          <w:sz w:val="24"/>
          <w:szCs w:val="24"/>
          <w:highlight w:val="none"/>
          <w:shd w:val="clear" w:color="auto" w:fill="auto"/>
        </w:rPr>
        <w:t xml:space="preserve">、采购方式</w:t>
      </w:r>
      <w:bookmarkEnd w:id="34"/>
      <w:r/>
      <w:bookmarkEnd w:id="35"/>
      <w:r/>
      <w:bookmarkEnd w:id="36"/>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 本次政府采购活动采取单一来源采购方式。</w:t>
      </w:r>
      <w:r/>
    </w:p>
    <w:p>
      <w:pPr>
        <w:pStyle w:val="824"/>
        <w:ind w:firstLine="420"/>
        <w:jc w:val="both"/>
        <w:keepLines/>
        <w:keepNext/>
        <w:spacing w:beforeAutospacing="0" w:afterAutospacing="0"/>
        <w:rPr>
          <w:rFonts w:hint="eastAsia" w:ascii="宋体" w:hAnsi="宋体" w:eastAsia="宋体" w:cs="宋体"/>
          <w:color w:val="auto"/>
          <w:sz w:val="24"/>
          <w:szCs w:val="24"/>
          <w:highlight w:val="none"/>
          <w:shd w:val="clear" w:color="auto" w:fill="auto"/>
        </w:rPr>
      </w:pPr>
      <w:r/>
      <w:bookmarkStart w:id="38" w:name="_Toc16938521"/>
      <w:r/>
      <w:bookmarkStart w:id="39" w:name="_Toc20823277"/>
      <w:r/>
      <w:bookmarkStart w:id="40" w:name="_Toc513029205"/>
      <w:r>
        <w:rPr>
          <w:rFonts w:hint="eastAsia" w:ascii="宋体" w:hAnsi="宋体" w:eastAsia="宋体" w:cs="宋体"/>
          <w:color w:val="auto"/>
          <w:sz w:val="24"/>
          <w:szCs w:val="24"/>
          <w:highlight w:val="none"/>
          <w:shd w:val="clear" w:color="auto" w:fill="auto"/>
        </w:rPr>
        <w:t xml:space="preserve">2、合格的</w:t>
      </w:r>
      <w:bookmarkEnd w:id="38"/>
      <w:r/>
      <w:bookmarkEnd w:id="39"/>
      <w:r/>
      <w:bookmarkEnd w:id="40"/>
      <w:r>
        <w:rPr>
          <w:rFonts w:hint="eastAsia" w:ascii="宋体" w:hAnsi="宋体" w:eastAsia="宋体" w:cs="宋体"/>
          <w:color w:val="auto"/>
          <w:sz w:val="24"/>
          <w:szCs w:val="24"/>
          <w:highlight w:val="none"/>
          <w:shd w:val="clear" w:color="auto" w:fill="auto"/>
        </w:rPr>
        <w:t xml:space="preserve">供应商</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bookmarkStart w:id="41" w:name="_Toc20823278"/>
      <w:r/>
      <w:bookmarkStart w:id="42" w:name="_Toc513029206"/>
      <w:r/>
      <w:bookmarkStart w:id="43" w:name="_Toc16938522"/>
      <w:r>
        <w:rPr>
          <w:rFonts w:hint="eastAsia" w:ascii="宋体" w:hAnsi="宋体" w:eastAsia="宋体" w:cs="宋体"/>
          <w:color w:val="auto"/>
          <w:sz w:val="24"/>
          <w:szCs w:val="24"/>
          <w:highlight w:val="none"/>
          <w:shd w:val="clear" w:color="auto" w:fill="auto"/>
        </w:rPr>
        <w:t xml:space="preserve">2. 1 满足采购文件中合格单一来源供应商资格要求的规定。</w:t>
      </w:r>
      <w:bookmarkEnd w:id="41"/>
      <w:r/>
      <w:bookmarkEnd w:id="42"/>
      <w:r/>
      <w:bookmarkEnd w:id="43"/>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 2 满足本采购文件实质性条款的规定。</w:t>
      </w:r>
      <w:r/>
    </w:p>
    <w:p>
      <w:pPr>
        <w:pStyle w:val="824"/>
        <w:ind w:firstLine="420"/>
        <w:jc w:val="both"/>
        <w:keepLines/>
        <w:keepNext/>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3、适用法律</w:t>
      </w:r>
      <w:r/>
    </w:p>
    <w:p>
      <w:pPr>
        <w:pStyle w:val="824"/>
        <w:ind w:firstLine="42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 本次采购及由此产生的合同受中华人民共和国有关的法律法规制约和保护。</w:t>
      </w:r>
      <w:r/>
    </w:p>
    <w:p>
      <w:pPr>
        <w:pStyle w:val="824"/>
        <w:ind w:firstLine="420"/>
        <w:jc w:val="both"/>
        <w:keepLines/>
        <w:keepNext/>
        <w:spacing w:beforeAutospacing="0" w:afterAutospacing="0"/>
        <w:rPr>
          <w:rFonts w:hint="eastAsia" w:ascii="宋体" w:hAnsi="宋体" w:eastAsia="宋体" w:cs="宋体"/>
          <w:color w:val="auto"/>
          <w:sz w:val="24"/>
          <w:szCs w:val="24"/>
          <w:highlight w:val="none"/>
          <w:shd w:val="clear" w:color="auto" w:fill="auto"/>
        </w:rPr>
      </w:pPr>
      <w:r/>
      <w:bookmarkStart w:id="44" w:name="_Toc20823279"/>
      <w:r/>
      <w:bookmarkStart w:id="45" w:name="_Toc462564067"/>
      <w:r/>
      <w:bookmarkStart w:id="46" w:name="_Toc513029207"/>
      <w:r/>
      <w:bookmarkStart w:id="47" w:name="_Toc16938523"/>
      <w:r>
        <w:rPr>
          <w:rFonts w:hint="eastAsia" w:ascii="宋体" w:hAnsi="宋体" w:eastAsia="宋体" w:cs="宋体"/>
          <w:color w:val="auto"/>
          <w:sz w:val="24"/>
          <w:szCs w:val="24"/>
          <w:highlight w:val="none"/>
          <w:shd w:val="clear" w:color="auto" w:fill="auto"/>
        </w:rPr>
        <w:t xml:space="preserve">4、相关费用</w:t>
      </w:r>
      <w:bookmarkEnd w:id="44"/>
      <w:r/>
      <w:bookmarkEnd w:id="45"/>
      <w:r/>
      <w:bookmarkEnd w:id="46"/>
      <w:r/>
      <w:bookmarkEnd w:id="47"/>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4.1供应商应自行承担所有与参加本次采购有关的费用，无论采购过程中的做法和结果如何，</w:t>
      </w:r>
      <w:r>
        <w:rPr>
          <w:rFonts w:hint="eastAsia" w:ascii="宋体" w:hAnsi="宋体" w:eastAsia="宋体" w:cs="宋体"/>
          <w:color w:val="auto"/>
          <w:sz w:val="24"/>
          <w:szCs w:val="24"/>
          <w:highlight w:val="none"/>
          <w:shd w:val="clear" w:color="auto" w:fill="auto"/>
          <w:lang w:eastAsia="zh-CN"/>
        </w:rPr>
        <w:t xml:space="preserve">响水县公共资源交易中心（响水县政府采购中心）</w:t>
      </w:r>
      <w:r>
        <w:rPr>
          <w:rFonts w:hint="eastAsia" w:ascii="宋体" w:hAnsi="宋体" w:eastAsia="宋体" w:cs="宋体"/>
          <w:color w:val="auto"/>
          <w:sz w:val="24"/>
          <w:szCs w:val="24"/>
          <w:highlight w:val="none"/>
          <w:shd w:val="clear" w:color="auto" w:fill="auto"/>
        </w:rPr>
        <w:t xml:space="preserve">（以下简称采购中心）在任何情况下均无义务和责任承担这些费用。</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4.2本次</w:t>
      </w:r>
      <w:r>
        <w:rPr>
          <w:rFonts w:hint="eastAsia" w:ascii="宋体" w:hAnsi="宋体" w:eastAsia="宋体" w:cs="宋体"/>
          <w:color w:val="auto"/>
          <w:sz w:val="24"/>
          <w:szCs w:val="24"/>
          <w:highlight w:val="none"/>
          <w:shd w:val="clear" w:color="auto" w:fill="auto"/>
          <w:lang w:eastAsia="zh-CN"/>
        </w:rPr>
        <w:t xml:space="preserve">采购中心</w:t>
      </w:r>
      <w:r>
        <w:rPr>
          <w:rFonts w:hint="eastAsia" w:ascii="宋体" w:hAnsi="宋体" w:eastAsia="宋体" w:cs="宋体"/>
          <w:color w:val="auto"/>
          <w:sz w:val="24"/>
          <w:szCs w:val="24"/>
          <w:highlight w:val="none"/>
          <w:shd w:val="clear" w:color="auto" w:fill="auto"/>
        </w:rPr>
        <w:t xml:space="preserve">和采购人不收取标书工本费。</w:t>
      </w:r>
      <w:r/>
    </w:p>
    <w:p>
      <w:pPr>
        <w:pStyle w:val="824"/>
        <w:ind w:firstLine="301"/>
        <w:jc w:val="both"/>
        <w:keepLines/>
        <w:keepNext/>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5、</w:t>
      </w:r>
      <w:r>
        <w:rPr>
          <w:rFonts w:hint="eastAsia" w:ascii="宋体" w:hAnsi="宋体" w:eastAsia="宋体" w:cs="宋体"/>
          <w:color w:val="auto"/>
          <w:sz w:val="24"/>
          <w:szCs w:val="24"/>
          <w:highlight w:val="none"/>
          <w:shd w:val="clear" w:color="auto" w:fill="auto"/>
        </w:rPr>
        <w:t xml:space="preserve">采购文件的约束力</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5.1供应商一旦接收了本项目单一来源采购文件（以下简称“采购文件”）并决定参加单一来源采购活动，即被认为接受了本采购文件的规定和约束，并且视为自接收本采购文件之日起已经知道或应当知道自身权益是否受到了损害。</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w:t>
      </w:r>
      <w:r/>
    </w:p>
    <w:p>
      <w:pPr>
        <w:pStyle w:val="824"/>
        <w:ind w:firstLine="321"/>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rPr>
      </w:pPr>
      <w:r/>
      <w:bookmarkStart w:id="48" w:name="_Toc20823281"/>
      <w:r/>
      <w:bookmarkStart w:id="49" w:name="_Toc120614215"/>
      <w:r/>
      <w:bookmarkStart w:id="50" w:name="_Toc16938525"/>
      <w:r/>
      <w:bookmarkStart w:id="51" w:name="_Toc513029209"/>
      <w:r>
        <w:rPr>
          <w:rFonts w:hint="eastAsia" w:ascii="宋体" w:hAnsi="宋体" w:eastAsia="宋体" w:cs="宋体"/>
          <w:b/>
          <w:color w:val="auto"/>
          <w:sz w:val="24"/>
          <w:szCs w:val="24"/>
          <w:highlight w:val="none"/>
          <w:shd w:val="clear" w:color="auto" w:fill="auto"/>
        </w:rPr>
        <w:t xml:space="preserve">二、</w:t>
      </w:r>
      <w:bookmarkEnd w:id="48"/>
      <w:r/>
      <w:bookmarkEnd w:id="49"/>
      <w:r/>
      <w:bookmarkEnd w:id="50"/>
      <w:r/>
      <w:bookmarkEnd w:id="51"/>
      <w:r>
        <w:rPr>
          <w:rFonts w:hint="eastAsia" w:ascii="宋体" w:hAnsi="宋体" w:eastAsia="宋体" w:cs="宋体"/>
          <w:b/>
          <w:color w:val="auto"/>
          <w:sz w:val="24"/>
          <w:szCs w:val="24"/>
          <w:highlight w:val="none"/>
          <w:shd w:val="clear" w:color="auto" w:fill="auto"/>
        </w:rPr>
        <w:t xml:space="preserve">采购文件</w:t>
      </w:r>
      <w:r/>
    </w:p>
    <w:p>
      <w:pPr>
        <w:pStyle w:val="824"/>
        <w:ind w:firstLine="420"/>
        <w:jc w:val="both"/>
        <w:keepLines/>
        <w:keepNext/>
        <w:spacing w:beforeAutospacing="0" w:afterAutospacing="0"/>
        <w:rPr>
          <w:rFonts w:hint="eastAsia" w:ascii="宋体" w:hAnsi="宋体" w:eastAsia="宋体" w:cs="宋体"/>
          <w:color w:val="auto"/>
          <w:sz w:val="24"/>
          <w:szCs w:val="24"/>
          <w:highlight w:val="none"/>
          <w:shd w:val="clear" w:color="auto" w:fill="auto"/>
        </w:rPr>
      </w:pPr>
      <w:r/>
      <w:bookmarkStart w:id="52" w:name="_Toc513029210"/>
      <w:r/>
      <w:bookmarkStart w:id="53" w:name="_Toc16938526"/>
      <w:r/>
      <w:bookmarkStart w:id="54" w:name="_Toc20823282"/>
      <w:r>
        <w:rPr>
          <w:rFonts w:hint="eastAsia" w:ascii="宋体" w:hAnsi="宋体" w:eastAsia="宋体" w:cs="宋体"/>
          <w:color w:val="auto"/>
          <w:sz w:val="24"/>
          <w:szCs w:val="24"/>
          <w:highlight w:val="none"/>
          <w:shd w:val="clear" w:color="auto" w:fill="auto"/>
        </w:rPr>
        <w:t xml:space="preserve">6、采购文件构成</w:t>
      </w:r>
      <w:bookmarkEnd w:id="52"/>
      <w:r/>
      <w:bookmarkEnd w:id="53"/>
      <w:r/>
      <w:bookmarkEnd w:id="54"/>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6.1采购文件由以下部分组成：</w:t>
      </w:r>
      <w:r/>
    </w:p>
    <w:p>
      <w:pPr>
        <w:pStyle w:val="824"/>
        <w:ind w:firstLine="36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（1）单一来源采购邀请</w:t>
      </w:r>
      <w:r/>
    </w:p>
    <w:p>
      <w:pPr>
        <w:pStyle w:val="824"/>
        <w:ind w:firstLine="36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（2）供应商须知</w:t>
      </w:r>
      <w:r/>
    </w:p>
    <w:p>
      <w:pPr>
        <w:pStyle w:val="824"/>
        <w:ind w:firstLine="36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（3）合同文本</w:t>
      </w:r>
      <w:r/>
    </w:p>
    <w:p>
      <w:pPr>
        <w:pStyle w:val="824"/>
        <w:ind w:firstLine="36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（4）采购需求</w:t>
      </w:r>
      <w:r/>
    </w:p>
    <w:p>
      <w:pPr>
        <w:pStyle w:val="824"/>
        <w:ind w:firstLine="36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（6）响应文件格式</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请仔细检查采购文件是否齐全，如有缺漏请立即与采购中心联系解决。</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6.2 供应商应认真阅读采购文件中所有的事项、格式、条款和规范等要求。按采购文件要求和规定编制单一来源协商响应文件（以下简称“响应文件”），并保证所提供的全部资料的真实性，以使其响应文件对采购文件作出实质性响应，否则其风险由供应商自行承担。</w:t>
      </w:r>
      <w:r/>
    </w:p>
    <w:p>
      <w:pPr>
        <w:pStyle w:val="824"/>
        <w:ind w:firstLine="560"/>
        <w:jc w:val="both"/>
        <w:keepLines/>
        <w:keepNext/>
        <w:spacing w:beforeAutospacing="0" w:afterAutospacing="0"/>
        <w:rPr>
          <w:rFonts w:hint="eastAsia" w:ascii="宋体" w:hAnsi="宋体" w:eastAsia="宋体" w:cs="宋体"/>
          <w:color w:val="auto"/>
          <w:sz w:val="24"/>
          <w:szCs w:val="24"/>
          <w:highlight w:val="none"/>
          <w:shd w:val="clear" w:color="auto" w:fill="auto"/>
        </w:rPr>
      </w:pPr>
      <w:r/>
      <w:bookmarkStart w:id="55" w:name="_Toc462564070"/>
      <w:r/>
      <w:bookmarkStart w:id="56" w:name="_Toc20823283"/>
      <w:r/>
      <w:bookmarkStart w:id="57" w:name="_Toc513029211"/>
      <w:r/>
      <w:bookmarkStart w:id="58" w:name="_Toc16938527"/>
      <w:r>
        <w:rPr>
          <w:rFonts w:hint="eastAsia" w:ascii="宋体" w:hAnsi="宋体" w:eastAsia="宋体" w:cs="宋体"/>
          <w:color w:val="auto"/>
          <w:sz w:val="24"/>
          <w:szCs w:val="24"/>
          <w:highlight w:val="none"/>
          <w:shd w:val="clear" w:color="auto" w:fill="auto"/>
        </w:rPr>
        <w:t xml:space="preserve">7、采购文件的澄清</w:t>
      </w:r>
      <w:bookmarkEnd w:id="55"/>
      <w:r/>
      <w:bookmarkEnd w:id="56"/>
      <w:r/>
      <w:bookmarkEnd w:id="57"/>
      <w:r/>
      <w:bookmarkEnd w:id="58"/>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bookmarkStart w:id="59" w:name="_Toc462564071"/>
      <w:r/>
      <w:bookmarkStart w:id="60" w:name="_Toc513029212"/>
      <w:r/>
      <w:bookmarkStart w:id="61" w:name="_Toc16938528"/>
      <w:r/>
      <w:bookmarkStart w:id="62" w:name="_Toc20823284"/>
      <w:r>
        <w:rPr>
          <w:rFonts w:hint="eastAsia" w:ascii="宋体" w:hAnsi="宋体" w:eastAsia="宋体" w:cs="宋体"/>
          <w:color w:val="auto"/>
          <w:sz w:val="24"/>
          <w:szCs w:val="24"/>
          <w:highlight w:val="none"/>
          <w:shd w:val="clear" w:color="auto" w:fill="auto"/>
        </w:rPr>
        <w:t xml:space="preserve">7.1 供应商如果要求对采购文件进行澄清的，应在响应文件接收截止时间（以下简称“截止时间”）</w:t>
      </w:r>
      <w:r>
        <w:rPr>
          <w:rFonts w:hint="eastAsia" w:ascii="宋体" w:hAnsi="宋体" w:eastAsia="宋体" w:cs="宋体"/>
          <w:b/>
          <w:color w:val="auto"/>
          <w:sz w:val="24"/>
          <w:szCs w:val="24"/>
          <w:highlight w:val="none"/>
          <w:shd w:val="clear" w:color="auto" w:fill="auto"/>
        </w:rPr>
        <w:t xml:space="preserve">三天</w:t>
      </w:r>
      <w:r>
        <w:rPr>
          <w:rFonts w:hint="eastAsia" w:ascii="宋体" w:hAnsi="宋体" w:eastAsia="宋体" w:cs="宋体"/>
          <w:color w:val="auto"/>
          <w:sz w:val="24"/>
          <w:szCs w:val="24"/>
          <w:highlight w:val="none"/>
          <w:shd w:val="clear" w:color="auto" w:fill="auto"/>
        </w:rPr>
        <w:t xml:space="preserve">前，在苏采云系统中通知采购中心。采购中心将在苏采云系统中对澄清要求予以答复。</w:t>
      </w:r>
      <w:bookmarkEnd w:id="59"/>
      <w:r/>
      <w:bookmarkEnd w:id="60"/>
      <w:r/>
      <w:bookmarkEnd w:id="61"/>
      <w:r/>
      <w:bookmarkEnd w:id="62"/>
      <w:r/>
      <w:r/>
    </w:p>
    <w:p>
      <w:pPr>
        <w:pStyle w:val="824"/>
        <w:ind w:firstLine="560"/>
        <w:jc w:val="both"/>
        <w:keepLines/>
        <w:keepNext/>
        <w:spacing w:beforeAutospacing="0" w:afterAutospacing="0"/>
        <w:rPr>
          <w:rFonts w:hint="eastAsia" w:ascii="宋体" w:hAnsi="宋体" w:eastAsia="宋体" w:cs="宋体"/>
          <w:color w:val="auto"/>
          <w:sz w:val="24"/>
          <w:szCs w:val="24"/>
          <w:highlight w:val="none"/>
          <w:shd w:val="clear" w:color="auto" w:fill="auto"/>
        </w:rPr>
      </w:pPr>
      <w:r/>
      <w:bookmarkStart w:id="63" w:name="_Toc16938529"/>
      <w:r/>
      <w:bookmarkStart w:id="64" w:name="_Toc513029213"/>
      <w:r/>
      <w:bookmarkStart w:id="65" w:name="_Toc20823285"/>
      <w:r/>
      <w:bookmarkStart w:id="66" w:name="_Toc120614216"/>
      <w:r/>
      <w:bookmarkStart w:id="67" w:name="_Toc462564072"/>
      <w:r>
        <w:rPr>
          <w:rFonts w:hint="eastAsia" w:ascii="宋体" w:hAnsi="宋体" w:eastAsia="宋体" w:cs="宋体"/>
          <w:color w:val="auto"/>
          <w:sz w:val="24"/>
          <w:szCs w:val="24"/>
          <w:highlight w:val="none"/>
          <w:shd w:val="clear" w:color="auto" w:fill="auto"/>
        </w:rPr>
        <w:t xml:space="preserve">8、采购文件的修改</w:t>
      </w:r>
      <w:bookmarkEnd w:id="63"/>
      <w:r/>
      <w:bookmarkEnd w:id="64"/>
      <w:r/>
      <w:bookmarkEnd w:id="65"/>
      <w:r/>
      <w:bookmarkEnd w:id="66"/>
      <w:r/>
      <w:bookmarkEnd w:id="67"/>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8.1 在截止时间前，采购中心可以以补充文件的方式对采购文件进行修改。</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8.2采购中心有权按照政府采购的有关要求推迟截止时间。</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8.3采购文件的补充文件将作为采购文件的组成部分，并对供应商具有约束力。</w:t>
      </w:r>
      <w:r/>
    </w:p>
    <w:p>
      <w:pPr>
        <w:pStyle w:val="824"/>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三、响应文件的编制</w:t>
      </w:r>
      <w:r/>
    </w:p>
    <w:p>
      <w:pPr>
        <w:pStyle w:val="824"/>
        <w:ind w:firstLine="560"/>
        <w:jc w:val="both"/>
        <w:keepLines/>
        <w:keepNext/>
        <w:spacing w:beforeAutospacing="0" w:afterAutospacing="0"/>
        <w:rPr>
          <w:rFonts w:hint="eastAsia" w:ascii="宋体" w:hAnsi="宋体" w:eastAsia="宋体" w:cs="宋体"/>
          <w:color w:val="auto"/>
          <w:sz w:val="24"/>
          <w:szCs w:val="24"/>
          <w:highlight w:val="none"/>
          <w:shd w:val="clear" w:color="auto" w:fill="auto"/>
        </w:rPr>
      </w:pPr>
      <w:r/>
      <w:bookmarkStart w:id="68" w:name="_Toc513029214"/>
      <w:r/>
      <w:bookmarkStart w:id="69" w:name="_Toc20823286"/>
      <w:r/>
      <w:bookmarkStart w:id="70" w:name="_Toc16938530"/>
      <w:r/>
      <w:bookmarkStart w:id="71" w:name="_Toc462564073"/>
      <w:r>
        <w:rPr>
          <w:rFonts w:hint="eastAsia" w:ascii="宋体" w:hAnsi="宋体" w:eastAsia="宋体" w:cs="宋体"/>
          <w:color w:val="auto"/>
          <w:sz w:val="24"/>
          <w:szCs w:val="24"/>
          <w:highlight w:val="none"/>
          <w:shd w:val="clear" w:color="auto" w:fill="auto"/>
        </w:rPr>
        <w:t xml:space="preserve">9、响应文件的语言及度量衡单位</w:t>
      </w:r>
      <w:bookmarkEnd w:id="68"/>
      <w:r/>
      <w:bookmarkEnd w:id="69"/>
      <w:r/>
      <w:bookmarkEnd w:id="70"/>
      <w:r/>
      <w:bookmarkEnd w:id="71"/>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9.1供应商提交的响应文件以及供应商与采购中心就有关采购活动的所有来往通知、函件和文件均应使用</w:t>
      </w:r>
      <w:r>
        <w:rPr>
          <w:rFonts w:hint="eastAsia" w:ascii="宋体" w:hAnsi="宋体" w:eastAsia="宋体" w:cs="宋体"/>
          <w:b/>
          <w:color w:val="auto"/>
          <w:sz w:val="24"/>
          <w:szCs w:val="24"/>
          <w:highlight w:val="none"/>
          <w:shd w:val="clear" w:color="auto" w:fill="auto"/>
        </w:rPr>
        <w:t xml:space="preserve">简体中文</w:t>
      </w:r>
      <w:r>
        <w:rPr>
          <w:rFonts w:hint="eastAsia" w:ascii="宋体" w:hAnsi="宋体" w:eastAsia="宋体" w:cs="宋体"/>
          <w:color w:val="auto"/>
          <w:sz w:val="24"/>
          <w:szCs w:val="24"/>
          <w:highlight w:val="none"/>
          <w:shd w:val="clear" w:color="auto" w:fill="auto"/>
        </w:rPr>
        <w:t xml:space="preserve">。</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9.2 除技术性能另有规定外，响应文件所使用的度量衡单位，均须采用国家法定计量单位。</w:t>
      </w:r>
      <w:r/>
    </w:p>
    <w:p>
      <w:pPr>
        <w:pStyle w:val="824"/>
        <w:ind w:firstLine="420"/>
        <w:jc w:val="both"/>
        <w:keepLines/>
        <w:keepNext/>
        <w:spacing w:beforeAutospacing="0" w:afterAutospacing="0"/>
        <w:rPr>
          <w:rFonts w:hint="eastAsia" w:ascii="宋体" w:hAnsi="宋体" w:eastAsia="宋体" w:cs="宋体"/>
          <w:color w:val="auto"/>
          <w:sz w:val="24"/>
          <w:szCs w:val="24"/>
          <w:highlight w:val="none"/>
          <w:shd w:val="clear" w:color="auto" w:fill="auto"/>
        </w:rPr>
      </w:pPr>
      <w:r/>
      <w:bookmarkStart w:id="72" w:name="_Toc513029215"/>
      <w:r/>
      <w:bookmarkStart w:id="73" w:name="_Toc462564074"/>
      <w:r/>
      <w:bookmarkStart w:id="74" w:name="_Toc16938531"/>
      <w:r/>
      <w:bookmarkStart w:id="75" w:name="_Toc20823287"/>
      <w:r>
        <w:rPr>
          <w:rFonts w:hint="eastAsia" w:ascii="宋体" w:hAnsi="宋体" w:eastAsia="宋体" w:cs="宋体"/>
          <w:color w:val="auto"/>
          <w:sz w:val="24"/>
          <w:szCs w:val="24"/>
          <w:highlight w:val="none"/>
          <w:shd w:val="clear" w:color="auto" w:fill="auto"/>
        </w:rPr>
        <w:t xml:space="preserve">10、响应文件构成</w:t>
      </w:r>
      <w:bookmarkEnd w:id="72"/>
      <w:r/>
      <w:bookmarkEnd w:id="73"/>
      <w:r/>
      <w:bookmarkEnd w:id="74"/>
      <w:r/>
      <w:bookmarkEnd w:id="75"/>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bookmarkStart w:id="76" w:name="_Toc14577357"/>
      <w:r/>
      <w:bookmarkStart w:id="77" w:name="_Toc49090509"/>
      <w:r/>
      <w:bookmarkStart w:id="78" w:name="_Toc513029216"/>
      <w:r/>
      <w:bookmarkStart w:id="79" w:name="_Toc513029219"/>
      <w:r/>
      <w:bookmarkStart w:id="80" w:name="_Toc14577355"/>
      <w:r/>
      <w:bookmarkStart w:id="81" w:name="_Toc14577354"/>
      <w:r/>
      <w:bookmarkStart w:id="82" w:name="_Toc49090508"/>
      <w:r/>
      <w:bookmarkStart w:id="83" w:name="_Toc49090507"/>
      <w:r/>
      <w:bookmarkStart w:id="84" w:name="_Hlt26670360"/>
      <w:r/>
      <w:bookmarkStart w:id="85" w:name="_Hlt26954838"/>
      <w:r/>
      <w:bookmarkStart w:id="86" w:name="_Hlt26668975"/>
      <w:r>
        <w:rPr>
          <w:rFonts w:hint="eastAsia" w:ascii="宋体" w:hAnsi="宋体" w:eastAsia="宋体" w:cs="宋体"/>
          <w:color w:val="auto"/>
          <w:sz w:val="24"/>
          <w:szCs w:val="24"/>
          <w:highlight w:val="none"/>
          <w:shd w:val="clear" w:color="auto" w:fill="auto"/>
        </w:rPr>
        <w:t xml:space="preserve">10.1 供应商编写的响应文件应包括资格证明文件、符合性证明文件、分项报价表、技术要求响应及偏离表、商务要求响应及偏离表、其他证明文件、单一来源响应函等部分。</w:t>
      </w:r>
      <w:bookmarkEnd w:id="76"/>
      <w:r/>
      <w:bookmarkEnd w:id="77"/>
      <w:r/>
      <w:bookmarkEnd w:id="78"/>
      <w:r/>
      <w:bookmarkEnd w:id="79"/>
      <w:r/>
      <w:bookmarkEnd w:id="80"/>
      <w:r/>
      <w:bookmarkEnd w:id="81"/>
      <w:r/>
      <w:bookmarkEnd w:id="82"/>
      <w:r/>
      <w:bookmarkEnd w:id="83"/>
      <w:r/>
      <w:r/>
    </w:p>
    <w:p>
      <w:pPr>
        <w:pStyle w:val="824"/>
        <w:ind w:firstLine="420"/>
        <w:jc w:val="both"/>
        <w:keepLines/>
        <w:keepNext/>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11、证明供应商及响应标的符合采购文件规定的文件</w:t>
      </w:r>
      <w:r/>
    </w:p>
    <w:p>
      <w:pPr>
        <w:pStyle w:val="824"/>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11.1 供应商应按照法律、法规、规章和规范性文件以及采购文件要求提交证明文件，证明</w:t>
      </w:r>
      <w:r>
        <w:rPr>
          <w:rFonts w:hint="eastAsia" w:ascii="宋体" w:hAnsi="宋体" w:eastAsia="宋体" w:cs="宋体"/>
          <w:color w:val="auto"/>
          <w:sz w:val="24"/>
          <w:szCs w:val="24"/>
          <w:highlight w:val="none"/>
          <w:shd w:val="clear" w:color="auto" w:fill="auto"/>
          <w:lang w:eastAsia="zh-CN"/>
        </w:rPr>
        <w:t xml:space="preserve">其</w:t>
      </w:r>
      <w:r>
        <w:rPr>
          <w:rFonts w:hint="eastAsia" w:ascii="宋体" w:hAnsi="宋体" w:eastAsia="宋体" w:cs="宋体"/>
          <w:color w:val="auto"/>
          <w:sz w:val="24"/>
          <w:szCs w:val="24"/>
          <w:highlight w:val="none"/>
          <w:shd w:val="clear" w:color="auto" w:fill="auto"/>
        </w:rPr>
        <w:t xml:space="preserve">响应标的符合采购文件规定。</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11.2采购文件对证明文件无明确形式要求的，证明文件可以以文字资料、图纸和数据等形式提交。</w:t>
      </w:r>
      <w:r/>
    </w:p>
    <w:p>
      <w:pPr>
        <w:pStyle w:val="824"/>
        <w:ind w:firstLine="420"/>
        <w:jc w:val="both"/>
        <w:keepLines/>
        <w:keepNext/>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12、分项报价表</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bookmarkStart w:id="87" w:name="_Hlt26954848"/>
      <w:r/>
      <w:bookmarkStart w:id="88" w:name="_Hlt26670482"/>
      <w:r/>
      <w:bookmarkStart w:id="89" w:name="_Hlt26954846"/>
      <w:r/>
      <w:bookmarkStart w:id="90" w:name="_Hlt26954731"/>
      <w:r/>
      <w:bookmarkStart w:id="91" w:name="_Hlt26670486"/>
      <w:r>
        <w:rPr>
          <w:rFonts w:hint="eastAsia" w:ascii="宋体" w:hAnsi="宋体" w:eastAsia="宋体" w:cs="宋体"/>
          <w:color w:val="auto"/>
          <w:sz w:val="24"/>
          <w:szCs w:val="24"/>
          <w:highlight w:val="none"/>
          <w:shd w:val="clear" w:color="auto" w:fill="auto"/>
        </w:rPr>
        <w:t xml:space="preserve">12.1 供应商应按照采购文件规定格式填报分项报价表。</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12.2报价货币。响应文件中的单价和总价无特殊规定的采用人民币报价，以元为单位标注。采购文件中另有规定的按规定执行。</w:t>
      </w:r>
      <w:r/>
    </w:p>
    <w:p>
      <w:pPr>
        <w:pStyle w:val="824"/>
        <w:ind w:firstLine="420"/>
        <w:jc w:val="both"/>
        <w:keepLines/>
        <w:keepNext/>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13、技术要求响应及偏离表、商务要求响应及偏离表</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13.1供应商需对采购文件中的技术要求与商务要求逐项作出响应或偏离，并说明原因。</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13.2供应商可在响应文件中提供认为需要的其他技术文件或说明。</w:t>
      </w:r>
      <w:r/>
    </w:p>
    <w:p>
      <w:pPr>
        <w:pStyle w:val="824"/>
        <w:ind w:firstLine="420"/>
        <w:jc w:val="both"/>
        <w:keepLines/>
        <w:keepNext/>
        <w:spacing w:beforeAutospacing="0" w:afterAutospacing="0"/>
        <w:rPr>
          <w:rFonts w:hint="eastAsia" w:ascii="宋体" w:hAnsi="宋体" w:eastAsia="宋体" w:cs="宋体"/>
          <w:color w:val="auto"/>
          <w:sz w:val="24"/>
          <w:szCs w:val="24"/>
          <w:highlight w:val="none"/>
          <w:shd w:val="clear" w:color="auto" w:fill="auto"/>
        </w:rPr>
      </w:pPr>
      <w:r/>
      <w:bookmarkStart w:id="92" w:name="_Toc14577359"/>
      <w:r/>
      <w:bookmarkStart w:id="93" w:name="_Toc49090510"/>
      <w:r>
        <w:rPr>
          <w:rFonts w:hint="eastAsia" w:ascii="宋体" w:hAnsi="宋体" w:eastAsia="宋体" w:cs="宋体"/>
          <w:color w:val="auto"/>
          <w:sz w:val="24"/>
          <w:szCs w:val="24"/>
          <w:highlight w:val="none"/>
          <w:shd w:val="clear" w:color="auto" w:fill="auto"/>
        </w:rPr>
        <w:t xml:space="preserve">14、服务承诺、培训计划、人员安排及其他</w:t>
      </w:r>
      <w:bookmarkEnd w:id="92"/>
      <w:r/>
      <w:bookmarkEnd w:id="93"/>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14.1 供应商需根据采购文件要求提供有关售后服务的管理制度，售后服务机构的分布情况，售后服务人员的数量、素质、技术水平及售后服务的反应能力等。</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14.2 供应商需根据采购文件要求提供培训计划。</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14.3 供应商需根据采购文件要求提供所投标的的主要组成部分、功能设计、实现思路及关键技术等。</w:t>
      </w:r>
      <w:r/>
    </w:p>
    <w:p>
      <w:pPr>
        <w:pStyle w:val="824"/>
        <w:ind w:firstLine="420"/>
        <w:jc w:val="both"/>
        <w:keepLines/>
        <w:keepNext/>
        <w:spacing w:beforeAutospacing="0" w:afterAutospacing="0"/>
        <w:rPr>
          <w:rFonts w:hint="eastAsia" w:ascii="宋体" w:hAnsi="宋体" w:eastAsia="宋体" w:cs="宋体"/>
          <w:color w:val="auto"/>
          <w:sz w:val="24"/>
          <w:szCs w:val="24"/>
          <w:highlight w:val="none"/>
          <w:shd w:val="clear" w:color="auto" w:fill="auto"/>
        </w:rPr>
      </w:pPr>
      <w:r/>
      <w:bookmarkStart w:id="94" w:name="_Toc49090511"/>
      <w:r/>
      <w:bookmarkStart w:id="95" w:name="_Toc14577360"/>
      <w:r>
        <w:rPr>
          <w:rFonts w:hint="eastAsia" w:ascii="宋体" w:hAnsi="宋体" w:eastAsia="宋体" w:cs="宋体"/>
          <w:color w:val="auto"/>
          <w:sz w:val="24"/>
          <w:szCs w:val="24"/>
          <w:highlight w:val="none"/>
          <w:shd w:val="clear" w:color="auto" w:fill="auto"/>
        </w:rPr>
        <w:t xml:space="preserve">15、单一来源响应函</w:t>
      </w:r>
      <w:bookmarkEnd w:id="94"/>
      <w:r/>
      <w:bookmarkEnd w:id="95"/>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15.1 供应商应按照采购文件中提供的格式完整、正确填写单一来源响应函。</w:t>
      </w:r>
      <w:r/>
    </w:p>
    <w:p>
      <w:pPr>
        <w:pStyle w:val="824"/>
        <w:ind w:firstLine="420"/>
        <w:jc w:val="both"/>
        <w:keepLines/>
        <w:keepNext/>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16、单一来源采购有效期</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16.1 单一来源采购有效期（以下简称“有效期”）为采购中心规定的响应文件接收截止之日后</w:t>
      </w:r>
      <w:r>
        <w:rPr>
          <w:rFonts w:hint="eastAsia" w:ascii="宋体" w:hAnsi="宋体" w:eastAsia="宋体" w:cs="宋体"/>
          <w:b/>
          <w:color w:val="auto"/>
          <w:sz w:val="24"/>
          <w:szCs w:val="24"/>
          <w:highlight w:val="none"/>
          <w:u w:val="single"/>
          <w:shd w:val="clear" w:color="auto" w:fill="auto"/>
        </w:rPr>
        <w:t xml:space="preserve">三十（30）天</w:t>
      </w:r>
      <w:r>
        <w:rPr>
          <w:rFonts w:hint="eastAsia" w:ascii="宋体" w:hAnsi="宋体" w:eastAsia="宋体" w:cs="宋体"/>
          <w:color w:val="auto"/>
          <w:sz w:val="24"/>
          <w:szCs w:val="24"/>
          <w:highlight w:val="none"/>
          <w:shd w:val="clear" w:color="auto" w:fill="auto"/>
        </w:rPr>
        <w:t xml:space="preserve">。有效期比规定期限短的将被视为未响应采购文件要求而予以拒绝。</w:t>
      </w:r>
      <w:r/>
    </w:p>
    <w:p>
      <w:pPr>
        <w:pStyle w:val="824"/>
        <w:ind w:firstLine="420"/>
        <w:jc w:val="both"/>
        <w:keepLines/>
        <w:keepNext/>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17、有效期的延长</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17.1在特殊情况下，采购中心于原有效期满之前，可向供应商提出延长有效期的要求。这种要求与答复均应采用书面形式。供应商可以拒绝采购中心的这一要求而放弃单一来源采购活动，同意延长有效期的供应商既不能要求也不允许修改其响应文件。受有效期约束的所有权利与义务均延长至新的有效期。</w:t>
      </w:r>
      <w:r/>
    </w:p>
    <w:p>
      <w:pPr>
        <w:pStyle w:val="824"/>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rPr>
      </w:pPr>
      <w:r/>
      <w:bookmarkStart w:id="96" w:name="_Toc513029224"/>
      <w:r/>
      <w:bookmarkStart w:id="97" w:name="_Toc20823296"/>
      <w:r/>
      <w:bookmarkStart w:id="98" w:name="_Toc120614217"/>
      <w:r/>
      <w:bookmarkStart w:id="99" w:name="_Toc16938540"/>
      <w:r/>
      <w:bookmarkStart w:id="100" w:name="_Hlt26954852"/>
      <w:r/>
      <w:bookmarkStart w:id="101" w:name="_Hlt26954739"/>
      <w:r>
        <w:rPr>
          <w:rFonts w:hint="eastAsia" w:ascii="宋体" w:hAnsi="宋体" w:eastAsia="宋体" w:cs="宋体"/>
          <w:b/>
          <w:color w:val="auto"/>
          <w:sz w:val="24"/>
          <w:szCs w:val="24"/>
          <w:highlight w:val="none"/>
          <w:shd w:val="clear" w:color="auto" w:fill="auto"/>
        </w:rPr>
        <w:t xml:space="preserve">四、响应文件的递交</w:t>
      </w:r>
      <w:bookmarkEnd w:id="96"/>
      <w:r/>
      <w:bookmarkEnd w:id="97"/>
      <w:r/>
      <w:bookmarkEnd w:id="98"/>
      <w:r/>
      <w:bookmarkEnd w:id="99"/>
      <w:r/>
      <w:r/>
    </w:p>
    <w:p>
      <w:pPr>
        <w:pStyle w:val="824"/>
        <w:ind w:firstLine="560"/>
        <w:jc w:val="both"/>
        <w:keepLines/>
        <w:keepNext/>
        <w:spacing w:beforeAutospacing="0" w:afterAutospacing="0"/>
        <w:rPr>
          <w:rFonts w:hint="eastAsia" w:ascii="宋体" w:hAnsi="宋体" w:eastAsia="宋体" w:cs="宋体"/>
          <w:color w:val="auto"/>
          <w:sz w:val="24"/>
          <w:szCs w:val="24"/>
          <w:highlight w:val="none"/>
          <w:shd w:val="clear" w:color="auto" w:fill="auto"/>
        </w:rPr>
      </w:pPr>
      <w:r/>
      <w:bookmarkStart w:id="102" w:name="_Toc16938541"/>
      <w:r/>
      <w:bookmarkStart w:id="103" w:name="_Toc20823297"/>
      <w:r/>
      <w:bookmarkStart w:id="104" w:name="_Toc513029225"/>
      <w:r/>
      <w:bookmarkStart w:id="105" w:name="_Toc462564084"/>
      <w:r>
        <w:rPr>
          <w:rFonts w:hint="eastAsia" w:ascii="宋体" w:hAnsi="宋体" w:eastAsia="宋体" w:cs="宋体"/>
          <w:color w:val="auto"/>
          <w:sz w:val="24"/>
          <w:szCs w:val="24"/>
          <w:highlight w:val="none"/>
          <w:shd w:val="clear" w:color="auto" w:fill="auto"/>
        </w:rPr>
        <w:t xml:space="preserve">18、电子</w:t>
      </w:r>
      <w:bookmarkEnd w:id="102"/>
      <w:r/>
      <w:bookmarkEnd w:id="103"/>
      <w:r/>
      <w:bookmarkEnd w:id="104"/>
      <w:r/>
      <w:bookmarkEnd w:id="105"/>
      <w:r>
        <w:rPr>
          <w:rFonts w:hint="eastAsia" w:ascii="宋体" w:hAnsi="宋体" w:eastAsia="宋体" w:cs="宋体"/>
          <w:color w:val="auto"/>
          <w:sz w:val="24"/>
          <w:szCs w:val="24"/>
          <w:highlight w:val="none"/>
          <w:shd w:val="clear" w:color="auto" w:fill="auto"/>
        </w:rPr>
        <w:t xml:space="preserve">响应文件的递交</w:t>
      </w:r>
      <w:r/>
    </w:p>
    <w:p>
      <w:pPr>
        <w:pStyle w:val="824"/>
        <w:ind w:firstLine="600"/>
        <w:jc w:val="both"/>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18.1供应商应当按照《操作手册》规定，在截止时间前制作并上传电子响应文件。</w:t>
      </w:r>
      <w:bookmarkStart w:id="106" w:name="_Toc16938542"/>
      <w:r/>
      <w:bookmarkEnd w:id="106"/>
      <w:r/>
      <w:bookmarkStart w:id="107" w:name="_Toc20823298"/>
      <w:r/>
      <w:bookmarkEnd w:id="107"/>
      <w:r/>
      <w:bookmarkStart w:id="108" w:name="_Toc513029226"/>
      <w:r/>
      <w:r/>
    </w:p>
    <w:p>
      <w:pPr>
        <w:pStyle w:val="824"/>
        <w:ind w:firstLine="560"/>
        <w:jc w:val="both"/>
        <w:keepLines/>
        <w:keepNext/>
        <w:spacing w:before="280" w:beforeAutospacing="0" w:after="290" w:afterAutospacing="0" w:line="374"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19、提交响应文件截止时间</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i/>
          <w:color w:val="auto"/>
          <w:sz w:val="24"/>
          <w:szCs w:val="24"/>
          <w:highlight w:val="none"/>
          <w:u w:val="single"/>
          <w:shd w:val="clear" w:color="auto" w:fill="auto"/>
        </w:rPr>
        <w:t xml:space="preserve">19.1供应商上传电子响应文件的时间不得迟于单一来源采购邀请中规定的截止时间。</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bookmarkStart w:id="109" w:name="_Toc16938543"/>
      <w:r/>
      <w:bookmarkStart w:id="110" w:name="_Toc20823299"/>
      <w:r/>
      <w:bookmarkStart w:id="111" w:name="_Toc513029227"/>
      <w:r>
        <w:rPr>
          <w:rFonts w:hint="eastAsia" w:ascii="宋体" w:hAnsi="宋体" w:eastAsia="宋体" w:cs="宋体"/>
          <w:color w:val="auto"/>
          <w:sz w:val="24"/>
          <w:szCs w:val="24"/>
          <w:highlight w:val="none"/>
          <w:shd w:val="clear" w:color="auto" w:fill="auto"/>
        </w:rPr>
        <w:t xml:space="preserve">供应商应充分考虑到网络环境、网络带宽等风险因素，如因供应商自身原因造成的电子响应文件上传不成功由供应商自行承担全部责任。</w:t>
      </w:r>
      <w:bookmarkEnd w:id="109"/>
      <w:r/>
      <w:bookmarkEnd w:id="110"/>
      <w:r/>
      <w:bookmarkEnd w:id="111"/>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19.2 采购中心可以按照规定，通过修改采购文件酌情延长截止时间，在此情况下，供应商的所有权利和义务以及供应商受制的截止时间以延长后新的截止时间为准。</w:t>
      </w:r>
      <w:r/>
    </w:p>
    <w:p>
      <w:pPr>
        <w:pStyle w:val="824"/>
        <w:ind w:firstLine="420"/>
        <w:jc w:val="both"/>
        <w:keepLines/>
        <w:keepNext/>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20、响应文件的拒收</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20.1 采购中心拒绝接收在其规定的截止时间后上传的任何电子响应文件。</w:t>
      </w:r>
      <w:r/>
    </w:p>
    <w:p>
      <w:pPr>
        <w:pStyle w:val="824"/>
        <w:ind w:firstLine="420"/>
        <w:jc w:val="both"/>
        <w:keepLines/>
        <w:keepNext/>
        <w:spacing w:beforeAutospacing="0" w:afterAutospacing="0"/>
        <w:rPr>
          <w:rFonts w:hint="eastAsia" w:ascii="宋体" w:hAnsi="宋体" w:eastAsia="宋体" w:cs="宋体"/>
          <w:color w:val="auto"/>
          <w:sz w:val="24"/>
          <w:szCs w:val="24"/>
          <w:highlight w:val="none"/>
          <w:shd w:val="clear" w:color="auto" w:fill="auto"/>
        </w:rPr>
      </w:pPr>
      <w:r/>
      <w:bookmarkStart w:id="112" w:name="_Toc16938544"/>
      <w:r/>
      <w:bookmarkStart w:id="113" w:name="_Toc513029228"/>
      <w:r/>
      <w:bookmarkStart w:id="114" w:name="_Toc20823300"/>
      <w:r>
        <w:rPr>
          <w:rFonts w:hint="eastAsia" w:ascii="宋体" w:hAnsi="宋体" w:eastAsia="宋体" w:cs="宋体"/>
          <w:color w:val="auto"/>
          <w:sz w:val="24"/>
          <w:szCs w:val="24"/>
          <w:highlight w:val="none"/>
          <w:shd w:val="clear" w:color="auto" w:fill="auto"/>
        </w:rPr>
        <w:t xml:space="preserve">21、响应文件的撤回和修改</w:t>
      </w:r>
      <w:bookmarkEnd w:id="112"/>
      <w:r/>
      <w:bookmarkEnd w:id="113"/>
      <w:r/>
      <w:bookmarkEnd w:id="114"/>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21.1响应文件的撤回</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21.1.1 电子响应文件的撤回</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供应商可在截止时间前，撤回其电子响应文件，具体操作方法见《操作手册》。</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21.1.2供应商撤回电子响应文件，则认为其不再参与本项目采购活动。</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21.2响应文件的修改</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供应商可在截止时间前，对其电子响应文件进行修改，具体操作方法见《操作手册》。</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21.3 在截止时间之后，供应商不得对其电子响应文件作任何修改。</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21.4 在截止时间至有效期满之间的这段时间内，供应商不得撤回其响应文件。</w:t>
      </w:r>
      <w:r/>
    </w:p>
    <w:p>
      <w:pPr>
        <w:pStyle w:val="824"/>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rPr>
      </w:pPr>
      <w:r/>
      <w:bookmarkStart w:id="115" w:name="_Toc513029229"/>
      <w:r/>
      <w:bookmarkStart w:id="116" w:name="_Toc120614218"/>
      <w:r/>
      <w:bookmarkStart w:id="117" w:name="_Toc16938545"/>
      <w:r/>
      <w:bookmarkStart w:id="118" w:name="_Toc20823301"/>
      <w:r>
        <w:rPr>
          <w:rFonts w:hint="eastAsia" w:ascii="宋体" w:hAnsi="宋体" w:eastAsia="宋体" w:cs="宋体"/>
          <w:b/>
          <w:color w:val="auto"/>
          <w:sz w:val="24"/>
          <w:szCs w:val="24"/>
          <w:highlight w:val="none"/>
          <w:shd w:val="clear" w:color="auto" w:fill="auto"/>
        </w:rPr>
        <w:t xml:space="preserve">五、响应文件的解密与评审</w:t>
      </w:r>
      <w:bookmarkEnd w:id="115"/>
      <w:r/>
      <w:bookmarkEnd w:id="116"/>
      <w:r/>
      <w:bookmarkEnd w:id="117"/>
      <w:r/>
      <w:bookmarkEnd w:id="118"/>
      <w:r/>
      <w:r/>
    </w:p>
    <w:p>
      <w:pPr>
        <w:pStyle w:val="824"/>
        <w:ind w:firstLine="420"/>
        <w:jc w:val="both"/>
        <w:keepLines/>
        <w:keepNext/>
        <w:spacing w:beforeAutospacing="0" w:afterAutospacing="0"/>
        <w:rPr>
          <w:rFonts w:hint="eastAsia" w:ascii="宋体" w:hAnsi="宋体" w:eastAsia="宋体" w:cs="宋体"/>
          <w:color w:val="auto"/>
          <w:sz w:val="24"/>
          <w:szCs w:val="24"/>
          <w:highlight w:val="none"/>
          <w:shd w:val="clear" w:color="auto" w:fill="auto"/>
        </w:rPr>
      </w:pPr>
      <w:r/>
      <w:bookmarkStart w:id="119" w:name="_Toc20823302"/>
      <w:r/>
      <w:bookmarkStart w:id="120" w:name="_Toc513029230"/>
      <w:r/>
      <w:bookmarkStart w:id="121" w:name="_Toc16938546"/>
      <w:r>
        <w:rPr>
          <w:rFonts w:hint="eastAsia" w:ascii="宋体" w:hAnsi="宋体" w:eastAsia="宋体" w:cs="宋体"/>
          <w:color w:val="auto"/>
          <w:sz w:val="24"/>
          <w:szCs w:val="24"/>
          <w:highlight w:val="none"/>
          <w:shd w:val="clear" w:color="auto" w:fill="auto"/>
        </w:rPr>
        <w:t xml:space="preserve">22、</w:t>
      </w:r>
      <w:bookmarkEnd w:id="119"/>
      <w:r/>
      <w:bookmarkEnd w:id="120"/>
      <w:r/>
      <w:bookmarkEnd w:id="121"/>
      <w:r>
        <w:rPr>
          <w:rFonts w:hint="eastAsia" w:ascii="宋体" w:hAnsi="宋体" w:eastAsia="宋体" w:cs="宋体"/>
          <w:color w:val="auto"/>
          <w:sz w:val="24"/>
          <w:szCs w:val="24"/>
          <w:highlight w:val="none"/>
          <w:shd w:val="clear" w:color="auto" w:fill="auto"/>
        </w:rPr>
        <w:t xml:space="preserve">响应文件解密</w:t>
      </w:r>
      <w:r/>
    </w:p>
    <w:p>
      <w:pPr>
        <w:pStyle w:val="824"/>
        <w:ind w:firstLine="360"/>
        <w:jc w:val="both"/>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22.1供应商应当按照《操作手册》规定，在苏采云系统规定的时间内对响应文件进行解密。</w:t>
      </w:r>
      <w:r/>
    </w:p>
    <w:p>
      <w:pPr>
        <w:pStyle w:val="824"/>
        <w:ind w:firstLine="420"/>
        <w:jc w:val="both"/>
        <w:keepLines/>
        <w:keepNext/>
        <w:spacing w:beforeAutospacing="0" w:afterAutospacing="0"/>
        <w:rPr>
          <w:rFonts w:hint="eastAsia" w:ascii="宋体" w:hAnsi="宋体" w:eastAsia="宋体" w:cs="宋体"/>
          <w:color w:val="auto"/>
          <w:sz w:val="24"/>
          <w:szCs w:val="24"/>
          <w:highlight w:val="none"/>
          <w:shd w:val="clear" w:color="auto" w:fill="auto"/>
        </w:rPr>
      </w:pPr>
      <w:r/>
      <w:bookmarkStart w:id="122" w:name="_Toc20823303"/>
      <w:r/>
      <w:bookmarkStart w:id="123" w:name="_Toc16938547"/>
      <w:r/>
      <w:bookmarkStart w:id="124" w:name="_Toc513029231"/>
      <w:r>
        <w:rPr>
          <w:rFonts w:hint="eastAsia" w:ascii="宋体" w:hAnsi="宋体" w:eastAsia="宋体" w:cs="宋体"/>
          <w:color w:val="auto"/>
          <w:sz w:val="24"/>
          <w:szCs w:val="24"/>
          <w:highlight w:val="none"/>
          <w:shd w:val="clear" w:color="auto" w:fill="auto"/>
        </w:rPr>
        <w:t xml:space="preserve">23、单一来源协商小组</w:t>
      </w:r>
      <w:bookmarkEnd w:id="122"/>
      <w:r/>
      <w:bookmarkEnd w:id="123"/>
      <w:r/>
      <w:bookmarkEnd w:id="124"/>
      <w:r/>
      <w:r/>
    </w:p>
    <w:p>
      <w:pPr>
        <w:pStyle w:val="824"/>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  </w:t>
      </w:r>
      <w:r>
        <w:rPr>
          <w:rFonts w:hint="eastAsia" w:ascii="宋体" w:hAnsi="宋体" w:eastAsia="宋体" w:cs="宋体"/>
          <w:color w:val="auto"/>
          <w:sz w:val="24"/>
          <w:szCs w:val="24"/>
          <w:highlight w:val="none"/>
          <w:shd w:val="clear" w:color="auto" w:fill="auto"/>
        </w:rPr>
        <w:t xml:space="preserve"> 23.1单一来源协商小组（以下简称“协商小组”）由政府采购评审专家、采购人代表组成，且人员构成符合政府采购有关规定。</w:t>
      </w:r>
      <w:r/>
    </w:p>
    <w:p>
      <w:pPr>
        <w:pStyle w:val="824"/>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  </w:t>
      </w:r>
      <w:r>
        <w:rPr>
          <w:rFonts w:hint="eastAsia" w:ascii="宋体" w:hAnsi="宋体" w:eastAsia="宋体" w:cs="宋体"/>
          <w:color w:val="auto"/>
          <w:sz w:val="24"/>
          <w:szCs w:val="24"/>
          <w:highlight w:val="none"/>
          <w:shd w:val="clear" w:color="auto" w:fill="auto"/>
        </w:rPr>
        <w:t xml:space="preserve">23.2协商小组应当按照客观、公正、审慎的原则评审供应商的响应文件，并与供应商协商采购标的的价格。</w:t>
      </w:r>
      <w:r/>
    </w:p>
    <w:p>
      <w:pPr>
        <w:pStyle w:val="824"/>
        <w:ind w:firstLine="420"/>
        <w:jc w:val="both"/>
        <w:keepLines/>
        <w:keepNext/>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24、单一来源协商过程的保密与公正</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bookmarkStart w:id="125" w:name="_Toc16938548"/>
      <w:r/>
      <w:bookmarkStart w:id="126" w:name="_Toc513029232"/>
      <w:r/>
      <w:bookmarkStart w:id="127" w:name="_Toc20823304"/>
      <w:r>
        <w:rPr>
          <w:rFonts w:hint="eastAsia" w:ascii="宋体" w:hAnsi="宋体" w:eastAsia="宋体" w:cs="宋体"/>
          <w:color w:val="auto"/>
          <w:sz w:val="24"/>
          <w:szCs w:val="24"/>
          <w:highlight w:val="none"/>
          <w:shd w:val="clear" w:color="auto" w:fill="auto"/>
        </w:rPr>
        <w:t xml:space="preserve">24.1协商小组、采购人和采购中心工作人员、相关监督人员等与评审工作有关的人员，对评审、单一来源协商情况以及在评审、单一来源协商过程（以下简称“协商过程”）中获悉的国家秘密、商业秘密负有保密责任。</w:t>
      </w:r>
      <w:bookmarkEnd w:id="125"/>
      <w:r/>
      <w:bookmarkEnd w:id="126"/>
      <w:r/>
      <w:bookmarkEnd w:id="127"/>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24.2在协商过程中，供应商不得以任何行为影响评审及协商过程，否则将会导致其响应文件被拒绝。</w:t>
      </w:r>
      <w:r/>
    </w:p>
    <w:p>
      <w:pPr>
        <w:pStyle w:val="824"/>
        <w:ind w:firstLine="420"/>
        <w:jc w:val="both"/>
        <w:keepLines/>
        <w:keepNext/>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25、评审及协商过程中的澄清</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25.1项目评审及协商过程中，协商小组有权要求供应商对响应文件中含义不明确、同类问题表述不一致或者有明显文字和计算错误的内容等作出必要的澄清、说明或者更正。</w:t>
      </w:r>
      <w:r/>
    </w:p>
    <w:p>
      <w:pPr>
        <w:pStyle w:val="824"/>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25.2需要供应商进行澄清、说明和更正的，协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824"/>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25.3 接到协商小组澄清、说明和更正要求的供应商如未按规定</w:t>
      </w:r>
      <w:r>
        <w:rPr>
          <w:rFonts w:hint="eastAsia" w:ascii="宋体" w:hAnsi="宋体" w:eastAsia="宋体" w:cs="宋体"/>
          <w:color w:val="auto"/>
          <w:sz w:val="24"/>
          <w:szCs w:val="24"/>
          <w:highlight w:val="none"/>
          <w:shd w:val="clear" w:color="auto" w:fill="auto"/>
          <w:lang w:eastAsia="zh-CN"/>
        </w:rPr>
        <w:t xml:space="preserve">作出</w:t>
      </w:r>
      <w:r>
        <w:rPr>
          <w:rFonts w:hint="eastAsia" w:ascii="宋体" w:hAnsi="宋体" w:eastAsia="宋体" w:cs="宋体"/>
          <w:color w:val="auto"/>
          <w:sz w:val="24"/>
          <w:szCs w:val="24"/>
          <w:highlight w:val="none"/>
          <w:shd w:val="clear" w:color="auto" w:fill="auto"/>
        </w:rPr>
        <w:t xml:space="preserve">澄清、说明和 更正，其风险由供应商自行承担。</w:t>
      </w:r>
      <w:r/>
    </w:p>
    <w:p>
      <w:pPr>
        <w:pStyle w:val="824"/>
        <w:ind w:firstLine="420"/>
        <w:jc w:val="both"/>
        <w:keepLines/>
        <w:keepNext/>
        <w:spacing w:beforeAutospacing="0" w:afterAutospacing="0"/>
        <w:rPr>
          <w:rFonts w:hint="eastAsia" w:ascii="宋体" w:hAnsi="宋体" w:eastAsia="宋体" w:cs="宋体"/>
          <w:color w:val="auto"/>
          <w:sz w:val="24"/>
          <w:szCs w:val="24"/>
          <w:highlight w:val="none"/>
          <w:shd w:val="clear" w:color="auto" w:fill="auto"/>
        </w:rPr>
      </w:pPr>
      <w:r/>
      <w:bookmarkStart w:id="128" w:name="_Toc20823305"/>
      <w:r/>
      <w:bookmarkStart w:id="129" w:name="_Toc16938549"/>
      <w:r/>
      <w:bookmarkStart w:id="130" w:name="_Toc513029233"/>
      <w:r>
        <w:rPr>
          <w:rFonts w:hint="eastAsia" w:ascii="宋体" w:hAnsi="宋体" w:eastAsia="宋体" w:cs="宋体"/>
          <w:color w:val="auto"/>
          <w:sz w:val="24"/>
          <w:szCs w:val="24"/>
          <w:highlight w:val="none"/>
          <w:shd w:val="clear" w:color="auto" w:fill="auto"/>
        </w:rPr>
        <w:t xml:space="preserve">26、对响应文件的审</w:t>
      </w:r>
      <w:bookmarkEnd w:id="128"/>
      <w:r/>
      <w:bookmarkEnd w:id="129"/>
      <w:r/>
      <w:bookmarkEnd w:id="130"/>
      <w:r>
        <w:rPr>
          <w:rFonts w:hint="eastAsia" w:ascii="宋体" w:hAnsi="宋体" w:eastAsia="宋体" w:cs="宋体"/>
          <w:color w:val="auto"/>
          <w:sz w:val="24"/>
          <w:szCs w:val="24"/>
          <w:highlight w:val="none"/>
          <w:shd w:val="clear" w:color="auto" w:fill="auto"/>
        </w:rPr>
        <w:t xml:space="preserve">查</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26.1响应文件审查分为资格审查和符合性审查。</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26.1.1 资格审查：由协商小组依据法律法规和</w:t>
      </w:r>
      <w:r>
        <w:rPr>
          <w:rFonts w:hint="eastAsia" w:ascii="宋体" w:hAnsi="宋体" w:eastAsia="宋体" w:cs="宋体"/>
          <w:color w:val="auto"/>
          <w:sz w:val="24"/>
          <w:szCs w:val="24"/>
          <w:highlight w:val="none"/>
          <w:shd w:val="clear" w:color="auto" w:fill="auto"/>
          <w:lang w:val="en-US" w:eastAsia="zh-CN"/>
        </w:rPr>
        <w:t xml:space="preserve">采购</w:t>
      </w:r>
      <w:r>
        <w:rPr>
          <w:rFonts w:hint="eastAsia" w:ascii="宋体" w:hAnsi="宋体" w:eastAsia="宋体" w:cs="宋体"/>
          <w:color w:val="auto"/>
          <w:sz w:val="24"/>
          <w:szCs w:val="24"/>
          <w:highlight w:val="none"/>
          <w:shd w:val="clear" w:color="auto" w:fill="auto"/>
        </w:rPr>
        <w:t xml:space="preserve">文件的规定，对响应文件中的资格证明文件进行审查，以确定供应商是否具备参加单一来源协商的资格。</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协商小组在进行资格审查的同时，将在“信用中国”网站（www.creditchina.gov.cn）查询供应商的信用记录，以确定供应商是否具备协商资格,查询结果留存并归档。</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26.1.2 符合性审查：依据采购文件的规定，由协商小组从响应文件的有效性、完整性和对采购文件的响应程度进行审查，以确定是否对</w:t>
      </w:r>
      <w:r>
        <w:rPr>
          <w:rFonts w:hint="eastAsia" w:ascii="宋体" w:hAnsi="宋体" w:eastAsia="宋体" w:cs="宋体"/>
          <w:color w:val="auto"/>
          <w:sz w:val="24"/>
          <w:szCs w:val="24"/>
          <w:highlight w:val="none"/>
          <w:shd w:val="clear" w:color="auto" w:fill="auto"/>
          <w:lang w:val="en-US" w:eastAsia="zh-CN"/>
        </w:rPr>
        <w:t xml:space="preserve">采购</w:t>
      </w:r>
      <w:r>
        <w:rPr>
          <w:rFonts w:hint="eastAsia" w:ascii="宋体" w:hAnsi="宋体" w:eastAsia="宋体" w:cs="宋体"/>
          <w:color w:val="auto"/>
          <w:sz w:val="24"/>
          <w:szCs w:val="24"/>
          <w:highlight w:val="none"/>
          <w:shd w:val="clear" w:color="auto" w:fill="auto"/>
        </w:rPr>
        <w:t xml:space="preserve">文件的实质性要求作出响应。</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26.1.3 未通过资格审查或符合性审查的供应商，协商小组将在苏采云系统中告知未通过资格审查或符合性审查的原因，评审结束后，协商小组将不再告知未通过资格审查或符合性审查的原因。</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26.2在正式进行协商之前，协商小组将首先审查每份响应文件是否实质性响应了采购文件的要求。实质性响应的响应文件应该是与采购文件要求的条款、条件和规格相符，没有重大偏离或保留。</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所谓重大偏离或保留是指与采购文件规定的实质性要求存在负偏离，或者在实质上与采购文件不一致，而且限制了合同中买方和采购中心的权利或供应商的义务。重大偏离由协商小组按照少数服从多数的原则认定。协商小组决定响应文件的响应性只根据响应文件本身的内容，而不寻求外部的证据。</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26.3未实质性响应采购文件的情形</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26.3.1供应商在苏采云系统规定的时间内未成功解密电子响应文件的。</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26.3.2供应商未按照采购文件要求上传电子响应文件的。</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26.3.3供应商提交两个（含两个）以上不同的响应文件或者最后报价的。</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26.3.4供应商不具备采购文件中规定资格要求的。</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26.3.5供应商的最后报价超过了采购预算。</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26.3.6不符合采购文件中规定的实质性要求和条件的</w:t>
      </w:r>
      <w:r>
        <w:rPr>
          <w:rFonts w:hint="eastAsia" w:ascii="宋体" w:hAnsi="宋体" w:eastAsia="宋体" w:cs="宋体"/>
          <w:i/>
          <w:color w:val="auto"/>
          <w:sz w:val="24"/>
          <w:szCs w:val="24"/>
          <w:highlight w:val="none"/>
          <w:u w:val="single"/>
          <w:shd w:val="clear" w:color="auto" w:fill="auto"/>
        </w:rPr>
        <w:t xml:space="preserve">（本采购文件中斜体且有下划线部分为实质性要求和条件）。</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26.3.8响应文件含有采购人不能接受的附加条件的。</w:t>
      </w:r>
      <w:r/>
    </w:p>
    <w:p>
      <w:pPr>
        <w:pStyle w:val="824"/>
        <w:ind w:firstLine="480"/>
        <w:jc w:val="both"/>
        <w:spacing w:beforeAutospacing="0" w:afterAutospacing="0" w:line="0" w:lineRule="atLeast"/>
        <w:rPr>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yellow"/>
          <w:shd w:val="clear" w:color="auto" w:fill="auto"/>
        </w:rPr>
        <w:t xml:space="preserve">26.3.</w:t>
      </w:r>
      <w:r>
        <w:rPr>
          <w:rFonts w:hint="eastAsia" w:ascii="宋体" w:hAnsi="宋体" w:eastAsia="宋体" w:cs="宋体"/>
          <w:color w:val="auto"/>
          <w:sz w:val="24"/>
          <w:szCs w:val="24"/>
          <w:highlight w:val="yellow"/>
          <w:shd w:val="clear" w:color="auto" w:fill="auto"/>
          <w:lang w:val="en-US" w:eastAsia="zh-CN"/>
        </w:rPr>
        <w:t xml:space="preserve">9</w:t>
      </w:r>
      <w:r>
        <w:rPr>
          <w:rFonts w:hint="eastAsia" w:ascii="宋体" w:hAnsi="宋体" w:eastAsia="宋体" w:cs="宋体"/>
          <w:color w:val="auto"/>
          <w:sz w:val="24"/>
          <w:szCs w:val="24"/>
          <w:highlight w:val="yellow"/>
          <w:lang w:val="en-US" w:eastAsia="zh-CN"/>
        </w:rPr>
        <w:t xml:space="preserve">供应商</w:t>
      </w:r>
      <w:r>
        <w:rPr>
          <w:rFonts w:hint="eastAsia" w:ascii="宋体" w:hAnsi="宋体" w:eastAsia="宋体" w:cs="宋体"/>
          <w:color w:val="auto"/>
          <w:sz w:val="24"/>
          <w:szCs w:val="24"/>
          <w:highlight w:val="yellow"/>
        </w:rPr>
        <w:t xml:space="preserve">不能证明其报价合理性的，</w:t>
      </w:r>
      <w:r>
        <w:rPr>
          <w:rFonts w:hint="eastAsia" w:ascii="宋体" w:hAnsi="宋体" w:eastAsia="宋体" w:cs="宋体"/>
          <w:color w:val="auto"/>
          <w:sz w:val="24"/>
          <w:szCs w:val="24"/>
          <w:highlight w:val="yellow"/>
          <w:lang w:val="en-US" w:eastAsia="zh-CN"/>
        </w:rPr>
        <w:t xml:space="preserve">协商小组</w:t>
      </w:r>
      <w:r>
        <w:rPr>
          <w:rFonts w:hint="eastAsia" w:ascii="宋体" w:hAnsi="宋体" w:eastAsia="宋体" w:cs="宋体"/>
          <w:color w:val="auto"/>
          <w:sz w:val="24"/>
          <w:szCs w:val="24"/>
          <w:highlight w:val="yellow"/>
        </w:rPr>
        <w:t xml:space="preserve">应当将其作为无效</w:t>
      </w:r>
      <w:r>
        <w:rPr>
          <w:rFonts w:hint="eastAsia" w:ascii="宋体" w:hAnsi="宋体" w:eastAsia="宋体" w:cs="宋体"/>
          <w:color w:val="000000"/>
          <w:sz w:val="24"/>
          <w:szCs w:val="24"/>
          <w:highlight w:val="yellow"/>
          <w:lang w:val="en-US" w:eastAsia="zh-CN" w:bidi="ar-SA"/>
        </w:rPr>
        <w:t xml:space="preserve">响应</w:t>
      </w:r>
      <w:r>
        <w:rPr>
          <w:rFonts w:hint="eastAsia" w:ascii="宋体" w:hAnsi="宋体" w:eastAsia="宋体" w:cs="宋体"/>
          <w:color w:val="auto"/>
          <w:sz w:val="24"/>
          <w:szCs w:val="24"/>
          <w:highlight w:val="yellow"/>
        </w:rPr>
        <w:t xml:space="preserve">处理。</w:t>
      </w:r>
      <w:r>
        <w:rPr>
          <w:highlight w:val="yellow"/>
        </w:rPr>
      </w:r>
      <w:r/>
    </w:p>
    <w:p>
      <w:pPr>
        <w:pStyle w:val="824"/>
        <w:ind w:firstLine="480"/>
        <w:jc w:val="both"/>
        <w:spacing w:beforeAutospacing="0" w:afterAutospacing="0" w:line="0" w:lineRule="atLeast"/>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yellow"/>
          <w:lang w:val="en-US" w:eastAsia="zh-CN" w:bidi="ar-SA"/>
        </w:rPr>
        <w:t xml:space="preserve">（一）评审过程中出现下列情形之一的，</w:t>
      </w:r>
      <w:r>
        <w:rPr>
          <w:rFonts w:hint="eastAsia" w:ascii="宋体" w:hAnsi="宋体" w:eastAsia="宋体" w:cs="宋体"/>
          <w:color w:val="auto"/>
          <w:sz w:val="24"/>
          <w:szCs w:val="24"/>
          <w:highlight w:val="yellow"/>
          <w:lang w:val="en-US" w:eastAsia="zh-CN"/>
        </w:rPr>
        <w:t xml:space="preserve">协商小组</w:t>
      </w:r>
      <w:r>
        <w:rPr>
          <w:rFonts w:hint="eastAsia" w:ascii="宋体" w:hAnsi="宋体" w:eastAsia="宋体" w:cs="宋体"/>
          <w:color w:val="000000"/>
          <w:sz w:val="24"/>
          <w:szCs w:val="24"/>
          <w:highlight w:val="yellow"/>
          <w:lang w:val="en-US" w:eastAsia="zh-CN" w:bidi="ar-SA"/>
        </w:rPr>
        <w:t xml:space="preserve">应当启动异常低价响应审查程序：</w:t>
      </w:r>
      <w:r>
        <w:rPr>
          <w:highlight w:val="yellow"/>
        </w:rPr>
      </w:r>
      <w:r/>
    </w:p>
    <w:p>
      <w:pPr>
        <w:pStyle w:val="824"/>
        <w:ind w:firstLine="480"/>
        <w:jc w:val="both"/>
        <w:spacing w:beforeAutospacing="0" w:afterAutospacing="0" w:line="0" w:lineRule="atLeast"/>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yellow"/>
          <w:lang w:val="en-US" w:eastAsia="zh-CN" w:bidi="ar-SA"/>
        </w:rPr>
        <w:t xml:space="preserve">1.响应报价低于采购项目预算50%的，即响应报价&lt;采购项目预算×50%；</w:t>
      </w:r>
      <w:r>
        <w:rPr>
          <w:highlight w:val="yellow"/>
        </w:rPr>
      </w:r>
      <w:r/>
    </w:p>
    <w:p>
      <w:pPr>
        <w:pStyle w:val="824"/>
        <w:ind w:firstLine="480"/>
        <w:jc w:val="both"/>
        <w:spacing w:beforeAutospacing="0" w:afterAutospacing="0" w:line="0" w:lineRule="atLeast"/>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yellow"/>
          <w:lang w:val="en-US" w:eastAsia="zh-CN" w:bidi="ar-SA"/>
        </w:rPr>
        <w:t xml:space="preserve">2.响应报价低于采购项目最高限价45%的，即响应报价&lt;采购项目最高限价×45%；</w:t>
      </w:r>
      <w:r>
        <w:rPr>
          <w:highlight w:val="yellow"/>
        </w:rPr>
      </w:r>
      <w:r/>
    </w:p>
    <w:p>
      <w:pPr>
        <w:pStyle w:val="824"/>
        <w:ind w:firstLine="480"/>
        <w:jc w:val="both"/>
        <w:spacing w:beforeAutospacing="0" w:afterAutospacing="0" w:line="0" w:lineRule="atLeast"/>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yellow"/>
          <w:lang w:val="en-US" w:eastAsia="zh-CN" w:bidi="ar-SA"/>
        </w:rPr>
        <w:t xml:space="preserve">3.</w:t>
      </w:r>
      <w:r>
        <w:rPr>
          <w:rFonts w:hint="eastAsia" w:ascii="宋体" w:hAnsi="宋体" w:eastAsia="宋体" w:cs="宋体"/>
          <w:color w:val="auto"/>
          <w:sz w:val="24"/>
          <w:szCs w:val="24"/>
          <w:highlight w:val="yellow"/>
          <w:lang w:val="en-US" w:eastAsia="zh-CN"/>
        </w:rPr>
        <w:t xml:space="preserve">协商小组</w:t>
      </w:r>
      <w:r>
        <w:rPr>
          <w:rFonts w:hint="eastAsia" w:ascii="宋体" w:hAnsi="宋体" w:eastAsia="宋体" w:cs="宋体"/>
          <w:color w:val="000000"/>
          <w:sz w:val="24"/>
          <w:szCs w:val="24"/>
          <w:highlight w:val="yellow"/>
          <w:lang w:val="en-US" w:eastAsia="zh-CN" w:bidi="ar-SA"/>
        </w:rPr>
        <w:t xml:space="preserve">认定的供应商报价过低、有可能影响产品质量或者不能诚信履约的其他情形。</w:t>
      </w:r>
      <w:r>
        <w:rPr>
          <w:highlight w:val="yellow"/>
        </w:rPr>
      </w:r>
      <w:r/>
    </w:p>
    <w:p>
      <w:pPr>
        <w:pStyle w:val="82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yellow"/>
          <w:lang w:val="en-US" w:eastAsia="zh-CN" w:bidi="ar-SA"/>
        </w:rPr>
        <w:t xml:space="preserve">（二）启动异常低价响应审查后，</w:t>
      </w:r>
      <w:r>
        <w:rPr>
          <w:rFonts w:hint="eastAsia" w:ascii="宋体" w:hAnsi="宋体" w:eastAsia="宋体" w:cs="宋体"/>
          <w:color w:val="auto"/>
          <w:sz w:val="24"/>
          <w:szCs w:val="24"/>
          <w:highlight w:val="yellow"/>
          <w:lang w:val="en-US" w:eastAsia="zh-CN"/>
        </w:rPr>
        <w:t xml:space="preserve">协商小组</w:t>
      </w:r>
      <w:r>
        <w:rPr>
          <w:rFonts w:hint="eastAsia" w:ascii="宋体" w:hAnsi="宋体" w:eastAsia="宋体" w:cs="宋体"/>
          <w:color w:val="000000"/>
          <w:sz w:val="24"/>
          <w:szCs w:val="24"/>
          <w:highlight w:val="yellow"/>
          <w:lang w:val="en-US" w:eastAsia="zh-CN" w:bidi="ar-SA"/>
        </w:rPr>
        <w:t xml:space="preserve">应当要求相关供应商在评标现场合理的时间内，提供项目具体成本测算等与报价合理性相关的书面说明及相关证明材料，对响应价格作出解释，由</w:t>
      </w:r>
      <w:r>
        <w:rPr>
          <w:rFonts w:hint="eastAsia" w:ascii="宋体" w:hAnsi="宋体" w:eastAsia="宋体" w:cs="宋体"/>
          <w:color w:val="auto"/>
          <w:sz w:val="24"/>
          <w:szCs w:val="24"/>
          <w:highlight w:val="yellow"/>
          <w:lang w:val="en-US" w:eastAsia="zh-CN"/>
        </w:rPr>
        <w:t xml:space="preserve">协商小组</w:t>
      </w:r>
      <w:r>
        <w:rPr>
          <w:rFonts w:hint="eastAsia" w:ascii="宋体" w:hAnsi="宋体" w:eastAsia="宋体" w:cs="宋体"/>
          <w:color w:val="000000"/>
          <w:sz w:val="24"/>
          <w:szCs w:val="24"/>
          <w:highlight w:val="yellow"/>
          <w:lang w:val="en-US" w:eastAsia="zh-CN" w:bidi="ar-SA"/>
        </w:rPr>
        <w:t xml:space="preserve">结合同类产品在主要电商平台的价格、该行业当地薪资水平等情况，依据专业经验对供应商报价合理性进行判断。响应供应商不提供书面说明、证明材料，或者提供的书面说明、证明材料不能证明其报价合理性的，</w:t>
      </w:r>
      <w:r>
        <w:rPr>
          <w:rFonts w:hint="eastAsia" w:ascii="宋体" w:hAnsi="宋体" w:eastAsia="宋体" w:cs="宋体"/>
          <w:color w:val="auto"/>
          <w:sz w:val="24"/>
          <w:szCs w:val="24"/>
          <w:highlight w:val="yellow"/>
          <w:lang w:val="en-US" w:eastAsia="zh-CN"/>
        </w:rPr>
        <w:t xml:space="preserve">协商小组</w:t>
      </w:r>
      <w:r>
        <w:rPr>
          <w:rFonts w:hint="eastAsia" w:ascii="宋体" w:hAnsi="宋体" w:eastAsia="宋体" w:cs="宋体"/>
          <w:color w:val="000000"/>
          <w:sz w:val="24"/>
          <w:szCs w:val="24"/>
          <w:highlight w:val="yellow"/>
          <w:lang w:val="en-US" w:eastAsia="zh-CN" w:bidi="ar-SA"/>
        </w:rPr>
        <w:t xml:space="preserve">应当将其作为无效响应处理。审查相关情况应当在评审报告中进行记录。</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26.3.10</w:t>
      </w:r>
      <w:r>
        <w:rPr>
          <w:rFonts w:hint="eastAsia" w:ascii="宋体" w:hAnsi="宋体" w:eastAsia="宋体" w:cs="宋体"/>
          <w:color w:val="auto"/>
          <w:sz w:val="24"/>
          <w:szCs w:val="24"/>
          <w:highlight w:val="none"/>
          <w:shd w:val="clear" w:color="auto" w:fill="auto"/>
        </w:rPr>
        <w:t xml:space="preserve">响应文件未按照</w:t>
      </w:r>
      <w:r>
        <w:rPr>
          <w:rFonts w:hint="eastAsia" w:ascii="宋体" w:hAnsi="宋体" w:eastAsia="宋体" w:cs="宋体"/>
          <w:color w:val="auto"/>
          <w:sz w:val="24"/>
          <w:szCs w:val="24"/>
          <w:highlight w:val="none"/>
          <w:shd w:val="clear" w:color="auto" w:fill="auto"/>
          <w:lang w:val="en-US" w:eastAsia="zh-CN"/>
        </w:rPr>
        <w:t xml:space="preserve">采购</w:t>
      </w:r>
      <w:r>
        <w:rPr>
          <w:rFonts w:hint="eastAsia" w:ascii="宋体" w:hAnsi="宋体" w:eastAsia="宋体" w:cs="宋体"/>
          <w:color w:val="auto"/>
          <w:sz w:val="24"/>
          <w:szCs w:val="24"/>
          <w:highlight w:val="none"/>
          <w:shd w:val="clear" w:color="auto" w:fill="auto"/>
        </w:rPr>
        <w:t xml:space="preserve">文件要求加盖CA电子公章的。</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26.4未实质性响应采购文件的响应文件按无效响应处理。</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26.5如果响应文件实质上没有响应采购文件的要求，协商小组将予以拒绝。</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bookmarkStart w:id="131" w:name="_Toc16938550"/>
      <w:r/>
      <w:bookmarkStart w:id="132" w:name="_Toc513029234"/>
      <w:r/>
      <w:bookmarkStart w:id="133" w:name="_Toc20823306"/>
      <w:r>
        <w:rPr>
          <w:rFonts w:hint="eastAsia" w:ascii="宋体" w:hAnsi="宋体" w:eastAsia="宋体" w:cs="宋体"/>
          <w:color w:val="auto"/>
          <w:sz w:val="24"/>
          <w:szCs w:val="24"/>
          <w:highlight w:val="none"/>
          <w:shd w:val="clear" w:color="auto" w:fill="auto"/>
        </w:rPr>
        <w:t xml:space="preserve">26.6供应商在项目评审及协商全过程中应</w:t>
      </w:r>
      <w:r>
        <w:rPr>
          <w:rFonts w:hint="eastAsia" w:ascii="宋体" w:hAnsi="宋体" w:eastAsia="宋体" w:cs="宋体"/>
          <w:color w:val="auto"/>
          <w:sz w:val="24"/>
          <w:szCs w:val="24"/>
          <w:highlight w:val="none"/>
          <w:shd w:val="clear" w:color="auto" w:fill="auto"/>
          <w:lang w:eastAsia="zh-CN"/>
        </w:rPr>
        <w:t xml:space="preserve">保持通信畅通</w:t>
      </w:r>
      <w:r>
        <w:rPr>
          <w:rFonts w:hint="eastAsia" w:ascii="宋体" w:hAnsi="宋体" w:eastAsia="宋体" w:cs="宋体"/>
          <w:color w:val="auto"/>
          <w:sz w:val="24"/>
          <w:szCs w:val="24"/>
          <w:highlight w:val="none"/>
          <w:shd w:val="clear" w:color="auto" w:fill="auto"/>
        </w:rPr>
        <w:t xml:space="preserve">，并安排专人与采购中心及协商小组联系。</w:t>
      </w:r>
      <w:bookmarkEnd w:id="131"/>
      <w:r/>
      <w:bookmarkEnd w:id="132"/>
      <w:r/>
      <w:bookmarkEnd w:id="133"/>
      <w:r/>
      <w:r/>
    </w:p>
    <w:p>
      <w:pPr>
        <w:pStyle w:val="824"/>
        <w:ind w:firstLine="420"/>
        <w:jc w:val="both"/>
        <w:keepLines/>
        <w:keepNext/>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27、单一来源协商及成交原则</w:t>
      </w:r>
      <w:r/>
    </w:p>
    <w:p>
      <w:pPr>
        <w:pStyle w:val="824"/>
        <w:ind w:left="479"/>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27.1单一来源协商</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27.1.1 对于通过资格审查和符合性审查的供应商，协商小组将通过苏采云系统与其就采购标的的价格、服务等内容进行单一来源协商。</w:t>
      </w:r>
      <w:r/>
    </w:p>
    <w:p>
      <w:pPr>
        <w:pStyle w:val="824"/>
        <w:ind w:firstLine="478"/>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27.1.2供应商应当在苏采云系统中以书面形式对协商过程中做出的承诺与澄清进行确认，并在协商小组规定的时间内完成最后报价。</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27.1.3 供应商的最后报价在响应产品数量没有增加，配置、服务没有重大提高的情况下，一般不允许高于第一次报价（即单一来源协商分项报价表中的报价）。否则，协商小组有权拒绝该最后报价并不再给予报价补救机会。</w:t>
      </w:r>
      <w:r/>
    </w:p>
    <w:p>
      <w:pPr>
        <w:pStyle w:val="824"/>
        <w:ind w:firstLine="36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27.2成交原则</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协商小组根据政府采购相关法律、规章的规定，在供应商的响应情况能保证采购项目质量且最后报价合理的基础上确定其为成交供应商。</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27.3单一来源协商终止情形处理</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出现下列情形之一的，采购中心将终止采购活动，发布项目终止公告并说明原因，重新开展采购活动：</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rPr>
        <w:t xml:space="preserve">   27.3.1 因情况变化，不再符合规定的单一来源采购方式适用情形的；</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rPr>
        <w:t xml:space="preserve">   27.3.2 出现影响采购公正的违法、违规行为的；</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rPr>
        <w:t xml:space="preserve">   27.3.3供应商最后报价超过采购预算的；</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27.3.4供应商的技术方案、服务承诺、商务条款等不能满足采购人或协商小组的要求；</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27.3.5 法律、法规、规章规定的其他应当终止的情形。</w:t>
      </w:r>
      <w:r/>
    </w:p>
    <w:p>
      <w:pPr>
        <w:pStyle w:val="824"/>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六、成交</w:t>
      </w:r>
      <w:r/>
    </w:p>
    <w:p>
      <w:pPr>
        <w:pStyle w:val="824"/>
        <w:ind w:firstLine="420"/>
        <w:jc w:val="both"/>
        <w:keepLines/>
        <w:keepNext/>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28、确定成交供应商</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28.1协商小组根据协商情况编写单一来源评审报告，推荐成交候选供应商。</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28.2 采购人根据协商小组推荐的成交候选供应商确定成交供应商。</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 若有充分证据证明，成交供应商出现下列情况之一的，一经查实，将被取消成交资格：</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28.3.1提供虚假材料谋取成交的。</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28.3.2与评审专家、采购人、其他供应商或者采购中心工作人员恶意串通的。</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28.3.3向评审专家、采购人或采购中心工作人员行贿或者提供其他不正当利益的。</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28.3.4恶意竞争，最后报价明显低于其自身合理成本且又无法提供证明的。</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28.3.5不满足本采购文件规定的实质性要求，但在评审过程中又未被协商小组发现的。</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28.3.6成交后无正当理由拒不与采购人签订政府采购合同或者未按照采购文件确定的事项签订政府采购合同的。</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28.3.7将政府采购合同转包的。</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成交供应商被取消成交资格后，采购中心有权重新组织采购。</w:t>
      </w:r>
      <w:r/>
    </w:p>
    <w:p>
      <w:pPr>
        <w:pStyle w:val="824"/>
        <w:ind w:firstLine="600"/>
        <w:jc w:val="both"/>
        <w:keepLines/>
        <w:keepNext/>
        <w:spacing w:beforeAutospacing="0" w:afterAutospacing="0"/>
        <w:rPr>
          <w:rFonts w:hint="eastAsia" w:ascii="宋体" w:hAnsi="宋体" w:eastAsia="宋体" w:cs="宋体"/>
          <w:color w:val="auto"/>
          <w:sz w:val="24"/>
          <w:szCs w:val="24"/>
          <w:highlight w:val="none"/>
          <w:shd w:val="clear" w:color="auto" w:fill="auto"/>
        </w:rPr>
      </w:pPr>
      <w:r/>
      <w:bookmarkStart w:id="134" w:name="_Toc200451960"/>
      <w:r>
        <w:rPr>
          <w:rFonts w:hint="eastAsia" w:ascii="宋体" w:hAnsi="宋体" w:eastAsia="宋体" w:cs="宋体"/>
          <w:color w:val="auto"/>
          <w:sz w:val="24"/>
          <w:szCs w:val="24"/>
          <w:highlight w:val="none"/>
          <w:shd w:val="clear" w:color="auto" w:fill="auto"/>
        </w:rPr>
        <w:t xml:space="preserve">29、质疑处理</w:t>
      </w:r>
      <w:bookmarkEnd w:id="134"/>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29.1供应商认为采购过程和采购结果使自己的权益受到损害的，可以从采购结果公布之日起七个工作日内，以书面形式向采购中心提出质疑。</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29.2 供应商应当在法定质疑期内一次性提出针对同一采购程序环节的质疑。供应商如在法定期限内对同一采购程序环节提出多次质疑的，采购中心、采购人将只对供应商第一次质疑作出答复。</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29.3质疑函必须按照本采购文件中《质疑函范本》要求的格式和内容进行填写。供应商如组成联合体参加协商，则《质疑函范本》中要求签字、盖章、加盖公章之处，联合体各方均须按要求签字、盖章、加盖公章。</w:t>
      </w:r>
      <w:r/>
    </w:p>
    <w:p>
      <w:pPr>
        <w:ind w:firstLine="480"/>
        <w:jc w:val="left"/>
        <w:tabs>
          <w:tab w:val="left" w:pos="133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29.4 采购中心只接收以纸质原件形式送达的质疑,采购人和采购中心不接受未填写快递运单的快件。</w:t>
      </w:r>
      <w:r>
        <w:rPr>
          <w:rFonts w:ascii="SimSun" w:hAnsi="SimSun" w:eastAsia="SimSun" w:cs="SimSun"/>
          <w:color w:val="000000"/>
          <w:sz w:val="24"/>
        </w:rPr>
        <w:t xml:space="preserve">质疑接收部门为</w:t>
      </w:r>
      <w:r>
        <w:rPr>
          <w:rFonts w:ascii="DengXian" w:hAnsi="DengXian" w:eastAsia="DengXian" w:cs="DengXian"/>
          <w:color w:val="000000"/>
          <w:sz w:val="24"/>
        </w:rPr>
        <w:t xml:space="preserve">：</w:t>
      </w:r>
      <w:r>
        <w:rPr>
          <w:rFonts w:ascii="SimSun" w:hAnsi="SimSun" w:eastAsia="SimSun" w:cs="SimSun"/>
          <w:b/>
          <w:color w:val="000000"/>
          <w:sz w:val="24"/>
        </w:rPr>
        <w:t xml:space="preserve">1.采购人信息：响水县</w:t>
      </w:r>
      <w:r>
        <w:rPr>
          <w:rFonts w:ascii="SimSun" w:hAnsi="SimSun" w:eastAsia="SimSun" w:cs="SimSun"/>
          <w:b/>
          <w:color w:val="000000"/>
          <w:sz w:val="24"/>
        </w:rPr>
        <w:t xml:space="preserve">财政局</w:t>
      </w:r>
      <w:r>
        <w:rPr>
          <w:rFonts w:ascii="SimSun" w:hAnsi="SimSun" w:eastAsia="SimSun" w:cs="SimSun"/>
          <w:b/>
          <w:color w:val="000000"/>
          <w:sz w:val="24"/>
        </w:rPr>
        <w:t xml:space="preserve">，地址：响水县</w:t>
      </w:r>
      <w:r>
        <w:rPr>
          <w:rFonts w:ascii="SimSun" w:hAnsi="SimSun" w:eastAsia="SimSun" w:cs="SimSun"/>
          <w:b/>
          <w:color w:val="000000"/>
          <w:sz w:val="24"/>
        </w:rPr>
        <w:t xml:space="preserve">双园</w:t>
      </w:r>
      <w:r>
        <w:rPr>
          <w:rFonts w:ascii="SimSun" w:hAnsi="SimSun" w:eastAsia="SimSun" w:cs="SimSun"/>
          <w:b/>
          <w:color w:val="000000"/>
          <w:sz w:val="24"/>
        </w:rPr>
        <w:t xml:space="preserve">中路3</w:t>
      </w:r>
      <w:r>
        <w:rPr>
          <w:rFonts w:ascii="SimSun" w:hAnsi="SimSun" w:eastAsia="SimSun" w:cs="SimSun"/>
          <w:b/>
          <w:color w:val="000000"/>
          <w:sz w:val="24"/>
        </w:rPr>
        <w:t xml:space="preserve">号，联系人：</w:t>
      </w:r>
      <w:r>
        <w:rPr>
          <w:rFonts w:ascii="SimSun" w:hAnsi="SimSun" w:eastAsia="SimSun" w:cs="SimSun"/>
          <w:b/>
          <w:color w:val="000000"/>
          <w:sz w:val="24"/>
        </w:rPr>
        <w:t xml:space="preserve">周一</w:t>
      </w:r>
      <w:r>
        <w:rPr>
          <w:rFonts w:ascii="SimSun" w:hAnsi="SimSun" w:eastAsia="SimSun" w:cs="SimSun"/>
          <w:b/>
          <w:color w:val="000000"/>
          <w:sz w:val="24"/>
        </w:rPr>
        <w:t xml:space="preserve">持</w:t>
      </w:r>
      <w:r>
        <w:rPr>
          <w:rFonts w:ascii="SimSun" w:hAnsi="SimSun" w:eastAsia="SimSun" w:cs="SimSun"/>
          <w:b/>
          <w:color w:val="000000"/>
          <w:sz w:val="24"/>
        </w:rPr>
        <w:t xml:space="preserve">，联系方式：0515-86883763；2.采购代理机构信息：响水县公共资源交易中心（响水县政府采购中心），地 址：响水县灌江东路1号，联系人：周</w:t>
      </w:r>
      <w:r>
        <w:rPr>
          <w:rFonts w:ascii="SimSun" w:hAnsi="SimSun" w:eastAsia="SimSun" w:cs="SimSun"/>
          <w:b/>
          <w:color w:val="000000"/>
          <w:sz w:val="24"/>
        </w:rPr>
        <w:t xml:space="preserve">本鹏</w:t>
      </w:r>
      <w:r>
        <w:rPr>
          <w:rFonts w:ascii="SimSun" w:hAnsi="SimSun" w:eastAsia="SimSun" w:cs="SimSun"/>
          <w:b/>
          <w:color w:val="000000"/>
          <w:sz w:val="24"/>
        </w:rPr>
        <w:t xml:space="preserve"> 联系方式：0515-86782009。</w:t>
      </w:r>
      <w:r>
        <w:rPr>
          <w:rFonts w:hint="eastAsia" w:ascii="宋体" w:hAnsi="宋体" w:eastAsia="宋体" w:cs="宋体"/>
          <w:color w:val="auto"/>
          <w:sz w:val="24"/>
          <w:szCs w:val="24"/>
          <w:highlight w:val="none"/>
          <w:shd w:val="clear" w:color="auto" w:fill="auto"/>
          <w:lang w:val="en-US" w:eastAsia="zh-CN" w:bidi="ar-SA"/>
        </w:rPr>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 以下情形的质疑不予受理</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29.5.1 内容不符合《政府采购质疑和投诉办法》第十二条规定的质疑。</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29.5.2 超出政府采购法定期限的质疑。</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29.5.3 以传真、电子邮件等方式递交的非原件形式的质疑。</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29.5.4未参加单一来源采购活动的供应商所提出的质疑。</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29.5.5供应商组成联合体参加协商，联合体中任何一方或多方未按要求签字、盖章、加盖公章的质疑。</w:t>
      </w:r>
      <w:r/>
    </w:p>
    <w:p>
      <w:pPr>
        <w:pStyle w:val="824"/>
        <w:ind w:firstLine="468"/>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24"/>
        <w:ind w:firstLine="600"/>
        <w:jc w:val="both"/>
        <w:keepLines/>
        <w:keepNext/>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30、成交通知书</w:t>
      </w:r>
      <w:r/>
    </w:p>
    <w:p>
      <w:pPr>
        <w:pStyle w:val="824"/>
        <w:ind w:firstLine="60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824"/>
        <w:ind w:firstLine="60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824"/>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rPr>
      </w:pPr>
      <w:r/>
      <w:bookmarkStart w:id="135" w:name="_Toc16938552"/>
      <w:r/>
      <w:bookmarkStart w:id="136" w:name="_Toc120614220"/>
      <w:r/>
      <w:bookmarkStart w:id="137" w:name="_Toc20823308"/>
      <w:r/>
      <w:bookmarkStart w:id="138" w:name="_Toc513029236"/>
      <w:r>
        <w:rPr>
          <w:rFonts w:hint="eastAsia" w:ascii="宋体" w:hAnsi="宋体" w:eastAsia="宋体" w:cs="宋体"/>
          <w:b/>
          <w:color w:val="auto"/>
          <w:sz w:val="24"/>
          <w:szCs w:val="24"/>
          <w:highlight w:val="none"/>
          <w:shd w:val="clear" w:color="auto" w:fill="auto"/>
        </w:rPr>
        <w:t xml:space="preserve">七、授予合同</w:t>
      </w:r>
      <w:bookmarkEnd w:id="135"/>
      <w:r/>
      <w:bookmarkEnd w:id="136"/>
      <w:r/>
      <w:bookmarkEnd w:id="137"/>
      <w:r/>
      <w:bookmarkEnd w:id="138"/>
      <w:r/>
      <w:r/>
    </w:p>
    <w:p>
      <w:pPr>
        <w:pStyle w:val="824"/>
        <w:ind w:firstLine="600"/>
        <w:jc w:val="both"/>
        <w:keepLines/>
        <w:keepNext/>
        <w:spacing w:beforeAutospacing="0" w:afterAutospacing="0"/>
        <w:rPr>
          <w:rFonts w:hint="eastAsia" w:ascii="宋体" w:hAnsi="宋体" w:eastAsia="宋体" w:cs="宋体"/>
          <w:color w:val="auto"/>
          <w:sz w:val="24"/>
          <w:szCs w:val="24"/>
          <w:highlight w:val="none"/>
          <w:shd w:val="clear" w:color="auto" w:fill="auto"/>
        </w:rPr>
      </w:pPr>
      <w:r/>
      <w:bookmarkStart w:id="139" w:name="_Toc20823309"/>
      <w:r/>
      <w:bookmarkStart w:id="140" w:name="_Toc513029237"/>
      <w:r/>
      <w:bookmarkStart w:id="141" w:name="_Toc16938553"/>
      <w:r>
        <w:rPr>
          <w:rFonts w:hint="eastAsia" w:ascii="宋体" w:hAnsi="宋体" w:eastAsia="宋体" w:cs="宋体"/>
          <w:color w:val="auto"/>
          <w:sz w:val="24"/>
          <w:szCs w:val="24"/>
          <w:highlight w:val="none"/>
          <w:shd w:val="clear" w:color="auto" w:fill="auto"/>
        </w:rPr>
        <w:t xml:space="preserve">31. 签订合同</w:t>
      </w:r>
      <w:bookmarkEnd w:id="139"/>
      <w:r/>
      <w:bookmarkEnd w:id="140"/>
      <w:r/>
      <w:bookmarkEnd w:id="141"/>
      <w:r/>
      <w:r/>
    </w:p>
    <w:p>
      <w:pPr>
        <w:pStyle w:val="824"/>
        <w:ind w:firstLine="60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31.l成交供应商应当在成交通知书发出之日起三十日内，按照采购文件确定的事项与采购人签订政府采购合同。</w:t>
      </w:r>
      <w:r/>
    </w:p>
    <w:p>
      <w:pPr>
        <w:pStyle w:val="824"/>
        <w:ind w:firstLine="60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31.2采购文件、成交供应商的响应文件及协商过程中有关澄清、承诺文件均应作为合同附件。</w:t>
      </w:r>
      <w:r/>
    </w:p>
    <w:p>
      <w:pPr>
        <w:pStyle w:val="824"/>
        <w:ind w:firstLine="60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31.3 签订合同后，</w:t>
      </w:r>
      <w:r>
        <w:rPr>
          <w:rFonts w:hint="eastAsia" w:ascii="宋体" w:hAnsi="宋体" w:eastAsia="宋体" w:cs="宋体"/>
          <w:i/>
          <w:color w:val="auto"/>
          <w:sz w:val="24"/>
          <w:szCs w:val="24"/>
          <w:highlight w:val="none"/>
          <w:u w:val="single"/>
          <w:shd w:val="clear" w:color="auto" w:fill="auto"/>
        </w:rPr>
        <w:t xml:space="preserve">成交供应商不得将合同标的进行转包</w:t>
      </w:r>
      <w:r>
        <w:rPr>
          <w:rFonts w:hint="eastAsia" w:ascii="宋体" w:hAnsi="宋体" w:eastAsia="宋体" w:cs="宋体"/>
          <w:color w:val="auto"/>
          <w:sz w:val="24"/>
          <w:szCs w:val="24"/>
          <w:highlight w:val="none"/>
          <w:shd w:val="clear" w:color="auto" w:fill="auto"/>
        </w:rPr>
        <w:t xml:space="preserve">。未经采购人同意，成交供应商也不得采用分包形式履行合同,否则采购人有权终止合同。转包或分包造成采购人损失的，成交供应商应承担相应赔偿责任。</w:t>
      </w:r>
      <w:r/>
    </w:p>
    <w:p>
      <w:pPr>
        <w:pStyle w:val="824"/>
        <w:ind w:firstLine="600"/>
        <w:jc w:val="both"/>
        <w:keepLines/>
        <w:keepNext/>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32、标的物的追加</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824"/>
        <w:numPr>
          <w:ilvl w:val="0"/>
          <w:numId w:val="0"/>
        </w:numPr>
        <w:ind w:left="474"/>
        <w:jc w:val="both"/>
        <w:spacing w:beforeAutospacing="0" w:afterAutospacing="0"/>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33.政府采购政策功能落实</w:t>
      </w:r>
      <w:r/>
    </w:p>
    <w:p>
      <w:pPr>
        <w:pStyle w:val="824"/>
        <w:ind w:firstLine="480"/>
        <w:jc w:val="both"/>
        <w:keepLines/>
        <w:keepNext/>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33.1</w:t>
      </w:r>
      <w:r>
        <w:rPr>
          <w:rFonts w:hint="eastAsia" w:ascii="宋体" w:hAnsi="宋体" w:eastAsia="宋体" w:cs="宋体"/>
          <w:color w:val="auto"/>
          <w:sz w:val="24"/>
          <w:szCs w:val="24"/>
          <w:highlight w:val="none"/>
          <w:shd w:val="clear" w:color="auto" w:fill="auto"/>
        </w:rPr>
        <w:t xml:space="preserve">政府采购</w:t>
      </w:r>
      <w:r>
        <w:rPr>
          <w:rFonts w:hint="eastAsia" w:ascii="宋体" w:hAnsi="宋体" w:eastAsia="宋体" w:cs="宋体"/>
          <w:color w:val="auto"/>
          <w:sz w:val="24"/>
          <w:szCs w:val="24"/>
          <w:highlight w:val="none"/>
          <w:shd w:val="clear" w:color="auto" w:fill="auto"/>
          <w:lang w:eastAsia="zh-CN"/>
        </w:rPr>
        <w:t xml:space="preserve">线上合同信用融资</w:t>
      </w:r>
      <w:r>
        <w:rPr>
          <w:rFonts w:hint="eastAsia" w:ascii="宋体" w:hAnsi="宋体" w:eastAsia="宋体" w:cs="宋体"/>
          <w:color w:val="auto"/>
          <w:sz w:val="24"/>
          <w:szCs w:val="24"/>
          <w:highlight w:val="none"/>
          <w:shd w:val="clear" w:color="auto" w:fill="auto"/>
        </w:rPr>
        <w:t xml:space="preserve">政策</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shd w:val="clear" w:color="auto" w:fill="auto"/>
          <w:lang w:val="en-US" w:eastAsia="zh-CN"/>
        </w:rPr>
        <w:t xml:space="preserve">江苏省</w:t>
      </w:r>
      <w:r>
        <w:rPr>
          <w:rFonts w:hint="eastAsia" w:ascii="宋体" w:hAnsi="宋体" w:eastAsia="宋体" w:cs="宋体"/>
          <w:color w:val="auto"/>
          <w:sz w:val="24"/>
          <w:szCs w:val="24"/>
          <w:highlight w:val="none"/>
          <w:shd w:val="clear" w:color="auto" w:fill="auto"/>
        </w:rPr>
        <w:t xml:space="preserve">政府采购网“政采贷”栏目）申请贷款，相关金融机构按照双方自愿的原则提供便捷、优惠的贷款服务；具体操作流程请参考苏采云系统中操作手册。 </w:t>
      </w:r>
      <w:r/>
    </w:p>
    <w:p>
      <w:pPr>
        <w:ind w:firstLine="482"/>
        <w:spacing w:line="480" w:lineRule="exact"/>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33.2进口产品</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进口产品</w:t>
      </w:r>
      <w:r>
        <w:rPr>
          <w:rFonts w:hint="eastAsia" w:ascii="宋体" w:hAnsi="宋体" w:eastAsia="宋体" w:cs="宋体"/>
          <w:color w:val="auto"/>
          <w:sz w:val="24"/>
          <w:szCs w:val="24"/>
          <w:highlight w:val="none"/>
          <w:shd w:val="clear" w:color="auto" w:fill="auto"/>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33.3中小企业、监狱企业及残疾人福利性单位</w:t>
      </w:r>
      <w:r/>
    </w:p>
    <w:p>
      <w:pPr>
        <w:ind w:firstLine="480"/>
        <w:spacing w:line="48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.3.1中小企业定义：</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中小企业是</w:t>
      </w:r>
      <w:r>
        <w:rPr>
          <w:rFonts w:hint="eastAsia" w:ascii="宋体" w:hAnsi="宋体" w:eastAsia="宋体" w:cs="宋体"/>
          <w:color w:val="auto"/>
          <w:sz w:val="24"/>
          <w:szCs w:val="24"/>
          <w:highlight w:val="none"/>
          <w:shd w:val="clear" w:color="auto" w:fill="auto"/>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.3.2供应商提供的货物、工程或者服务符合下列情形的，享受中小企业扶持政策：</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.3.2.1在货物采购项目中，货物由中小企业制造，即货物由中小企业生产且使用该中小企业商号或者注册商标；</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.3.2.2在工程采购项目中，工程由中小企业承建，即工程施工单位为中小企业；</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.3.2.3在服务采购项目中，服务由中小企业承接，即提供服务的人员为中小企业依照《中华人民共和国劳动合同法》订立劳动合同的从业人员。</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.3.3在货物采购项目中，供应商提供的货物既有中小企业制造货物，也有大型企业制造货物的，不享受中小企业扶持政策。</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.3.4以联合体形式参加政府采购活动，联合体各方均为中小企业的，联合体视同中小企业。其中，联合体各方均为小微企业的，联合体视同小微企业。</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.3.6残疾人福利单位定义：享受政府采购支持政策的残疾人福利性单位应当同时满足以下条件：</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.3.6.1安置的残疾人占本单位在职职工人数的比例不低于25%（含25%），并且安置的残疾人人数不少于10 人（含10 人）；</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.3.6.2依法与安置的每位残疾人签订了一年以上（含一年）的劳动合同或服务协议；</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.3.6.3为安置的每位残疾人按月足额缴纳了基本养老保险、基本医疗保险、失业保险、工伤保险和生育保险等社会保险费；</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.3.6.4通过银行等金融机构向安置的每位残疾人，按月支付了不低于单位所在区县适用的经省级人民政府批准的月最低工资标准的工资；</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.3.6.5提供本单位制造的货物、承担的工程或者服务（以下简称产品），或者提供其他残疾人福利性单位制造的货物（不包括使用非残疾人福利性单位注册商标的货物）；</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.3.7本项目是否专门面向中小企业预留采购份额见第一章《单一来源采购邀请》。</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33</w:t>
      </w:r>
      <w:r>
        <w:rPr>
          <w:rFonts w:hint="eastAsia" w:ascii="宋体" w:hAnsi="宋体" w:eastAsia="宋体" w:cs="宋体"/>
          <w:color w:val="auto"/>
          <w:sz w:val="24"/>
          <w:szCs w:val="24"/>
          <w:highlight w:val="none"/>
          <w:shd w:val="clear" w:color="auto" w:fill="auto"/>
        </w:rPr>
        <w:t xml:space="preserve">.3.8采购标的对应的中小企业划分标准所属行业见第四章《采购需求》。</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.3.9小微企业价格评审优惠的政策：见第五章《评标方法和评标标准》。</w:t>
      </w:r>
      <w:r/>
    </w:p>
    <w:p>
      <w:pPr>
        <w:ind w:firstLine="482"/>
        <w:spacing w:line="480" w:lineRule="exact"/>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33.4政府采购节能产品、环境标志产品</w:t>
      </w:r>
      <w:r/>
    </w:p>
    <w:p>
      <w:pPr>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.4.1</w:t>
      </w:r>
      <w:r>
        <w:rPr>
          <w:rFonts w:hint="eastAsia" w:ascii="宋体" w:hAnsi="宋体" w:eastAsia="宋体" w:cs="宋体"/>
          <w:color w:val="auto"/>
          <w:sz w:val="24"/>
          <w:szCs w:val="24"/>
          <w:highlight w:val="none"/>
          <w:shd w:val="clear" w:color="auto" w:fill="auto"/>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shd w:val="clear" w:color="auto" w:fill="auto"/>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其他条件相同情况下，应当优先采购节能产品、环境标志产品。</w:t>
      </w:r>
      <w:r/>
    </w:p>
    <w:p>
      <w:pPr>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.4.2</w:t>
      </w:r>
      <w:r>
        <w:rPr>
          <w:rFonts w:hint="eastAsia" w:ascii="宋体" w:hAnsi="宋体" w:eastAsia="宋体" w:cs="宋体"/>
          <w:color w:val="auto"/>
          <w:sz w:val="24"/>
          <w:szCs w:val="24"/>
          <w:highlight w:val="none"/>
          <w:shd w:val="clear" w:color="auto" w:fill="auto"/>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480" w:lineRule="exact"/>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33.5绿色包装</w:t>
      </w:r>
      <w:r/>
    </w:p>
    <w:p>
      <w:pPr>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80" w:lineRule="exact"/>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33.6政府采购创新产品</w:t>
      </w:r>
      <w:r/>
    </w:p>
    <w:p>
      <w:pPr>
        <w:ind w:left="0" w:right="0" w:firstLine="478"/>
        <w:jc w:val="both"/>
        <w:spacing w:before="0" w:after="0" w:line="85" w:lineRule="atLeast"/>
        <w:rPr>
          <w:rFonts w:hint="eastAsia" w:ascii="宋体" w:hAnsi="宋体" w:eastAsia="宋体" w:cs="宋体"/>
          <w:color w:val="auto"/>
          <w:sz w:val="24"/>
          <w:szCs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shd w:val="clear" w:color="auto" w:fill="auto"/>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shd w:val="clear" w:color="auto" w:fill="auto"/>
        </w:rPr>
        <w:t xml:space="preserve">。</w:t>
      </w:r>
      <w:r/>
    </w:p>
    <w:p>
      <w:pPr>
        <w:ind w:firstLine="482"/>
        <w:spacing w:line="480" w:lineRule="exact"/>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33.7绿色数据中心政策 </w:t>
      </w:r>
      <w:r/>
    </w:p>
    <w:p>
      <w:pPr>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shd w:val="clear" w:color="auto" w:fill="auto"/>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80" w:lineRule="exact"/>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33.8履约保证金政策</w:t>
      </w:r>
      <w:r/>
    </w:p>
    <w:p>
      <w:pPr>
        <w:pStyle w:val="831"/>
        <w:ind w:left="0" w:firstLine="560"/>
        <w:spacing w:after="0" w:line="520" w:lineRule="exact"/>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确需收取履约保证金的，履约保证金的缴纳形式：</w:t>
      </w:r>
      <w:r/>
    </w:p>
    <w:p>
      <w:pPr>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 如以履约保函（保险）形式缴纳履约保证金，供应商可通过政府采购电子履约保函（保险）平台（www.jsdzbh.com）在线申请履约保函（保险）。</w:t>
      </w:r>
      <w:r/>
    </w:p>
    <w:p>
      <w:pPr>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2"/>
        <w:spacing w:line="480" w:lineRule="exact"/>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34. 预付款制度</w:t>
      </w:r>
      <w:r/>
    </w:p>
    <w:p>
      <w:pPr>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本项目落实预付款制度，预付款比例为</w:t>
      </w:r>
      <w:r>
        <w:rPr>
          <w:rFonts w:hint="eastAsia" w:ascii="宋体" w:hAnsi="宋体" w:eastAsia="宋体" w:cs="宋体"/>
          <w:color w:val="auto"/>
          <w:sz w:val="24"/>
          <w:szCs w:val="24"/>
          <w:highlight w:val="none"/>
          <w:u w:val="single"/>
          <w:shd w:val="clear" w:color="auto" w:fill="auto"/>
          <w:lang w:val="en-US" w:eastAsia="zh-CN" w:bidi="ar-SA"/>
        </w:rPr>
        <w:t xml:space="preserve">  50 </w:t>
      </w:r>
      <w:r>
        <w:rPr>
          <w:rFonts w:hint="eastAsia" w:ascii="宋体" w:hAnsi="宋体" w:eastAsia="宋体" w:cs="宋体"/>
          <w:color w:val="auto"/>
          <w:sz w:val="24"/>
          <w:szCs w:val="24"/>
          <w:highlight w:val="none"/>
          <w:shd w:val="clear" w:color="auto" w:fill="auto"/>
          <w:lang w:val="en-US" w:eastAsia="zh-CN" w:bidi="ar-SA"/>
        </w:rPr>
        <w:t xml:space="preserve">%（原则上不低于合同金额的30%）。在签订合同时，中标、成交供应商明确书面表示无需预付款或者主动要求降低预付款比例的，采购人可就预付款比例作相应调整。</w:t>
      </w:r>
      <w:r/>
    </w:p>
    <w:p>
      <w:pPr>
        <w:pStyle w:val="831"/>
        <w:ind w:left="0" w:firstLine="560"/>
        <w:spacing w:after="0" w:line="520" w:lineRule="exact"/>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pStyle w:val="824"/>
        <w:ind w:firstLine="2640"/>
        <w:jc w:val="both"/>
        <w:keepNext/>
        <w:spacing w:beforeAutospacing="0" w:afterAutospacing="0"/>
        <w:rPr>
          <w:rFonts w:hint="eastAsia" w:ascii="仿宋" w:hAnsi="仿宋" w:eastAsia="仿宋" w:cs="仿宋"/>
          <w:color w:val="auto"/>
          <w:sz w:val="24"/>
          <w:szCs w:val="24"/>
          <w:highlight w:val="none"/>
          <w:shd w:val="clear" w:color="auto" w:fill="auto"/>
        </w:rPr>
      </w:pPr>
      <w:r>
        <w:rPr>
          <w:rFonts w:hint="eastAsia" w:ascii="仿宋" w:hAnsi="仿宋" w:eastAsia="仿宋" w:cs="仿宋"/>
          <w:color w:val="auto"/>
          <w:sz w:val="24"/>
          <w:szCs w:val="24"/>
          <w:highlight w:val="none"/>
          <w:shd w:val="clear" w:color="auto" w:fill="auto"/>
        </w:rPr>
        <w:t xml:space="preserve"> </w:t>
      </w:r>
      <w:r/>
    </w:p>
    <w:p>
      <w:pPr>
        <w:pStyle w:val="824"/>
        <w:ind w:firstLine="2640"/>
        <w:jc w:val="both"/>
        <w:keepNext/>
        <w:spacing w:beforeAutospacing="0" w:afterAutospacing="0"/>
        <w:rPr>
          <w:color w:val="auto"/>
          <w:highlight w:val="none"/>
          <w:shd w:val="clear" w:color="auto" w:fill="auto"/>
        </w:rPr>
      </w:pPr>
      <w:r>
        <w:rPr>
          <w:color w:val="auto"/>
          <w:highlight w:val="none"/>
          <w:shd w:val="clear" w:color="auto" w:fill="auto"/>
        </w:rPr>
        <w:t xml:space="preserve"> </w:t>
      </w:r>
      <w:r/>
    </w:p>
    <w:p>
      <w:pPr>
        <w:pStyle w:val="824"/>
        <w:ind w:firstLine="2640"/>
        <w:jc w:val="both"/>
        <w:keepNext/>
        <w:spacing w:beforeAutospacing="0" w:afterAutospacing="0"/>
        <w:rPr>
          <w:color w:val="auto"/>
          <w:highlight w:val="none"/>
          <w:shd w:val="clear" w:color="auto" w:fill="auto"/>
        </w:rPr>
      </w:pPr>
      <w:r>
        <w:rPr>
          <w:color w:val="auto"/>
          <w:highlight w:val="none"/>
          <w:shd w:val="clear" w:color="auto" w:fill="auto"/>
        </w:rPr>
        <w:t xml:space="preserve"> </w:t>
      </w:r>
      <w:r/>
    </w:p>
    <w:p>
      <w:pPr>
        <w:pStyle w:val="824"/>
        <w:ind w:firstLine="2640"/>
        <w:jc w:val="both"/>
        <w:keepNext/>
        <w:spacing w:beforeAutospacing="0" w:afterAutospacing="0"/>
        <w:rPr>
          <w:color w:val="auto"/>
          <w:highlight w:val="none"/>
          <w:shd w:val="clear" w:color="auto" w:fill="auto"/>
        </w:rPr>
      </w:pPr>
      <w:r>
        <w:rPr>
          <w:color w:val="auto"/>
          <w:highlight w:val="none"/>
          <w:shd w:val="clear" w:color="auto" w:fill="auto"/>
        </w:rPr>
        <w:t xml:space="preserve"> </w:t>
      </w:r>
      <w:r/>
    </w:p>
    <w:p>
      <w:pPr>
        <w:pStyle w:val="824"/>
        <w:ind w:firstLine="2640"/>
        <w:jc w:val="both"/>
        <w:keepNext/>
        <w:spacing w:beforeAutospacing="0" w:afterAutospacing="0"/>
        <w:rPr>
          <w:color w:val="auto"/>
          <w:highlight w:val="none"/>
          <w:shd w:val="clear" w:color="auto" w:fill="auto"/>
        </w:rPr>
      </w:pPr>
      <w:r>
        <w:rPr>
          <w:color w:val="auto"/>
          <w:highlight w:val="none"/>
          <w:shd w:val="clear" w:color="auto" w:fill="auto"/>
        </w:rPr>
        <w:t xml:space="preserve"> </w:t>
      </w:r>
      <w:r/>
    </w:p>
    <w:p>
      <w:pPr>
        <w:pStyle w:val="824"/>
        <w:ind w:firstLine="2640"/>
        <w:jc w:val="both"/>
        <w:keepNext/>
        <w:spacing w:beforeAutospacing="0" w:afterAutospacing="0"/>
        <w:rPr>
          <w:color w:val="auto"/>
          <w:highlight w:val="none"/>
          <w:shd w:val="clear" w:color="auto" w:fill="auto"/>
        </w:rPr>
      </w:pPr>
      <w:r>
        <w:rPr>
          <w:color w:val="auto"/>
          <w:highlight w:val="none"/>
          <w:shd w:val="clear" w:color="auto" w:fill="auto"/>
        </w:rPr>
        <w:t xml:space="preserve"> </w:t>
      </w:r>
      <w:r/>
    </w:p>
    <w:p>
      <w:pPr>
        <w:pStyle w:val="824"/>
        <w:ind w:firstLine="2640"/>
        <w:jc w:val="both"/>
        <w:keepNext/>
        <w:spacing w:beforeAutospacing="0" w:afterAutospacing="0"/>
        <w:rPr>
          <w:color w:val="auto"/>
          <w:highlight w:val="none"/>
          <w:shd w:val="clear" w:color="auto" w:fill="auto"/>
        </w:rPr>
      </w:pPr>
      <w:r>
        <w:rPr>
          <w:color w:val="auto"/>
          <w:highlight w:val="none"/>
          <w:shd w:val="clear" w:color="auto" w:fill="auto"/>
        </w:rPr>
        <w:t xml:space="preserve"> </w:t>
      </w:r>
      <w:r/>
    </w:p>
    <w:p>
      <w:pPr>
        <w:pStyle w:val="824"/>
        <w:ind w:firstLine="2640"/>
        <w:jc w:val="both"/>
        <w:keepNext/>
        <w:spacing w:beforeAutospacing="0" w:afterAutospacing="0"/>
        <w:rPr>
          <w:color w:val="auto"/>
          <w:highlight w:val="none"/>
          <w:shd w:val="clear" w:color="auto" w:fill="auto"/>
        </w:rPr>
      </w:pPr>
      <w:r>
        <w:rPr>
          <w:color w:val="auto"/>
          <w:highlight w:val="none"/>
          <w:shd w:val="clear" w:color="auto" w:fill="auto"/>
        </w:rPr>
        <w:t xml:space="preserve"> </w:t>
      </w:r>
      <w:r/>
    </w:p>
    <w:p>
      <w:pPr>
        <w:rPr>
          <w:rFonts w:ascii="黑体" w:hAnsi="宋体" w:eastAsia="黑体" w:cs="黑体"/>
          <w:color w:val="auto"/>
          <w:sz w:val="44"/>
          <w:szCs w:val="44"/>
          <w:highlight w:val="none"/>
          <w:shd w:val="clear" w:color="auto" w:fill="auto"/>
        </w:rPr>
      </w:pPr>
      <w:r>
        <w:rPr>
          <w:rFonts w:hint="eastAsia" w:ascii="黑体" w:hAnsi="宋体" w:eastAsia="黑体" w:cs="黑体"/>
          <w:color w:val="auto"/>
          <w:sz w:val="44"/>
          <w:szCs w:val="44"/>
          <w:highlight w:val="none"/>
          <w:shd w:val="clear" w:color="auto" w:fill="auto"/>
        </w:rPr>
        <w:br w:type="page" w:clear="all"/>
      </w:r>
      <w:r/>
    </w:p>
    <w:p>
      <w:pPr>
        <w:pStyle w:val="824"/>
        <w:ind w:firstLine="2640"/>
        <w:jc w:val="both"/>
        <w:keepNext/>
        <w:spacing w:beforeAutospacing="0" w:afterAutospacing="0"/>
        <w:rPr>
          <w:color w:val="auto"/>
          <w:highlight w:val="none"/>
          <w:shd w:val="clear" w:color="auto" w:fill="auto"/>
        </w:rPr>
      </w:pPr>
      <w:r>
        <w:rPr>
          <w:rFonts w:hint="eastAsia" w:ascii="黑体" w:hAnsi="宋体" w:eastAsia="黑体" w:cs="黑体"/>
          <w:color w:val="auto"/>
          <w:sz w:val="44"/>
          <w:szCs w:val="44"/>
          <w:highlight w:val="none"/>
          <w:shd w:val="clear" w:color="auto" w:fill="auto"/>
        </w:rPr>
        <w:t xml:space="preserve">第三章  合同文本</w:t>
      </w:r>
      <w:r/>
    </w:p>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bookmarkStart w:id="142" w:name="_Toc20823315"/>
      <w:r/>
      <w:bookmarkStart w:id="143" w:name="_Toc513029243"/>
      <w:r/>
      <w:bookmarkStart w:id="144" w:name="_Toc16938559"/>
      <w:r>
        <w:rPr>
          <w:rFonts w:hint="eastAsia" w:ascii="宋体" w:hAnsi="宋体" w:eastAsia="宋体" w:cs="宋体"/>
          <w:color w:val="auto"/>
          <w:sz w:val="24"/>
          <w:szCs w:val="24"/>
          <w:highlight w:val="none"/>
          <w:shd w:val="clear" w:color="auto" w:fill="auto"/>
        </w:rPr>
        <w:t xml:space="preserve">以下为成交后</w:t>
      </w:r>
      <w:r>
        <w:rPr>
          <w:rFonts w:hint="eastAsia" w:ascii="宋体" w:hAnsi="宋体" w:eastAsia="宋体" w:cs="宋体"/>
          <w:color w:val="auto"/>
          <w:sz w:val="24"/>
          <w:szCs w:val="24"/>
          <w:highlight w:val="none"/>
          <w:shd w:val="clear" w:color="auto" w:fill="auto"/>
          <w:lang w:eastAsia="zh-CN"/>
        </w:rPr>
        <w:t xml:space="preserve">签订</w:t>
      </w:r>
      <w:r>
        <w:rPr>
          <w:rFonts w:hint="eastAsia" w:ascii="宋体" w:hAnsi="宋体" w:eastAsia="宋体" w:cs="宋体"/>
          <w:color w:val="auto"/>
          <w:sz w:val="24"/>
          <w:szCs w:val="24"/>
          <w:highlight w:val="none"/>
          <w:shd w:val="clear" w:color="auto" w:fill="auto"/>
        </w:rPr>
        <w:t xml:space="preserve">本项目合同的通用条款，成交供应商不得提出实质性的修改。</w:t>
      </w:r>
      <w:bookmarkEnd w:id="142"/>
      <w:r/>
      <w:bookmarkEnd w:id="143"/>
      <w:r/>
      <w:bookmarkEnd w:id="144"/>
      <w:r>
        <w:rPr>
          <w:rFonts w:hint="eastAsia" w:ascii="宋体" w:hAnsi="宋体" w:eastAsia="宋体" w:cs="宋体"/>
          <w:color w:val="auto"/>
          <w:sz w:val="24"/>
          <w:szCs w:val="24"/>
          <w:highlight w:val="none"/>
          <w:shd w:val="clear" w:color="auto" w:fill="auto"/>
        </w:rPr>
        <w:t xml:space="preserve"> </w:t>
      </w:r>
      <w:r/>
    </w:p>
    <w:p>
      <w:pPr>
        <w:pStyle w:val="824"/>
        <w:jc w:val="center"/>
        <w:spacing w:before="145" w:beforeAutospacing="0" w:after="145"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盐城市政府采购合同（合同编号）</w:t>
      </w:r>
      <w:r/>
    </w:p>
    <w:p>
      <w:pPr>
        <w:pStyle w:val="824"/>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项目名称：                       </w:t>
      </w:r>
      <w:r/>
    </w:p>
    <w:p>
      <w:pPr>
        <w:pStyle w:val="824"/>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项目编号：</w:t>
      </w:r>
      <w:r/>
    </w:p>
    <w:p>
      <w:pPr>
        <w:pStyle w:val="824"/>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甲方：（买方）_________</w:t>
      </w:r>
      <w:r/>
    </w:p>
    <w:p>
      <w:pPr>
        <w:pStyle w:val="824"/>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乙方：（卖方）_________</w:t>
      </w:r>
      <w:r/>
    </w:p>
    <w:p>
      <w:pPr>
        <w:pStyle w:val="824"/>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   </w:t>
      </w:r>
      <w:r>
        <w:rPr>
          <w:rFonts w:hint="eastAsia" w:ascii="宋体" w:hAnsi="宋体" w:eastAsia="宋体" w:cs="宋体"/>
          <w:color w:val="auto"/>
          <w:sz w:val="24"/>
          <w:szCs w:val="24"/>
          <w:highlight w:val="none"/>
          <w:shd w:val="clear" w:color="auto" w:fill="auto"/>
        </w:rPr>
        <w:t xml:space="preserve">甲、乙双方根据</w:t>
      </w:r>
      <w:r>
        <w:rPr>
          <w:rFonts w:hint="eastAsia" w:ascii="宋体" w:hAnsi="宋体" w:eastAsia="宋体" w:cs="宋体"/>
          <w:color w:val="auto"/>
          <w:sz w:val="24"/>
          <w:szCs w:val="24"/>
          <w:highlight w:val="none"/>
          <w:shd w:val="clear" w:color="auto" w:fill="auto"/>
          <w:lang w:val="en-US" w:eastAsia="zh-CN"/>
        </w:rPr>
        <w:t xml:space="preserve">响水县财政局的</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项目单一来源采购的结果，签署本合同。</w:t>
      </w:r>
      <w:r/>
    </w:p>
    <w:p>
      <w:pPr>
        <w:pStyle w:val="824"/>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一、合同内容</w:t>
      </w:r>
      <w:r/>
    </w:p>
    <w:p>
      <w:pPr>
        <w:pStyle w:val="824"/>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 标的名称：</w:t>
      </w:r>
      <w:r/>
    </w:p>
    <w:p>
      <w:pPr>
        <w:pStyle w:val="824"/>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1.2标的质量：</w:t>
      </w:r>
      <w:r/>
    </w:p>
    <w:p>
      <w:pPr>
        <w:pStyle w:val="824"/>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 履行时间（期限）：</w:t>
      </w:r>
      <w:r/>
    </w:p>
    <w:p>
      <w:pPr>
        <w:pStyle w:val="824"/>
        <w:jc w:val="both"/>
        <w:spacing w:before="120" w:beforeAutospacing="0" w:after="120" w:afterAutospacing="0"/>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rPr>
        <w:t xml:space="preserve">1.5 履行地点：</w:t>
      </w:r>
      <w:r>
        <w:rPr>
          <w:rFonts w:hint="eastAsia" w:ascii="宋体" w:hAnsi="宋体" w:eastAsia="宋体" w:cs="宋体"/>
          <w:color w:val="auto"/>
          <w:sz w:val="24"/>
          <w:szCs w:val="24"/>
          <w:highlight w:val="none"/>
          <w:shd w:val="clear" w:color="auto" w:fill="auto"/>
          <w:lang w:val="en-US" w:eastAsia="zh-CN"/>
        </w:rPr>
        <w:t xml:space="preserve">响水县</w:t>
      </w:r>
      <w:r/>
    </w:p>
    <w:p>
      <w:pPr>
        <w:pStyle w:val="824"/>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二、合同金额</w:t>
      </w:r>
      <w:r/>
    </w:p>
    <w:p>
      <w:pPr>
        <w:pStyle w:val="824"/>
        <w:ind w:left="410" w:hanging="410"/>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 本合同金额为（大写）：____________________________________圆（_______________元）人民币。</w:t>
      </w:r>
      <w:r/>
    </w:p>
    <w:p>
      <w:pPr>
        <w:pStyle w:val="824"/>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三、技术资料</w:t>
      </w:r>
      <w:r/>
    </w:p>
    <w:p>
      <w:pPr>
        <w:pStyle w:val="824"/>
        <w:ind w:left="410" w:hanging="410"/>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3.1乙方应按采购文件规定的时间向甲方提供与合同标的有关的技术资料。</w:t>
      </w:r>
      <w:r/>
    </w:p>
    <w:p>
      <w:pPr>
        <w:pStyle w:val="824"/>
        <w:ind w:left="410" w:hanging="410"/>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24"/>
        <w:ind w:left="412" w:hanging="412"/>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四、知识产权</w:t>
      </w:r>
      <w:r/>
    </w:p>
    <w:p>
      <w:pPr>
        <w:pStyle w:val="824"/>
        <w:ind w:left="408" w:hanging="408"/>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4.1乙方应保证甲方在使用、接受本合同标的或其任何一部分时不受第三方提出侵犯其专利权、版权、商标权和工业设计权等知识产权的起诉。一旦出现侵权，由乙方负全部责任。</w:t>
      </w:r>
      <w:r/>
    </w:p>
    <w:p>
      <w:pPr>
        <w:pStyle w:val="824"/>
        <w:jc w:val="both"/>
        <w:spacing w:before="120" w:beforeAutospacing="0" w:after="120" w:afterAutospacing="0"/>
        <w:rPr>
          <w:rFonts w:hint="eastAsia" w:ascii="宋体" w:hAnsi="宋体" w:eastAsia="宋体" w:cs="宋体"/>
          <w:color w:val="auto"/>
          <w:sz w:val="24"/>
          <w:szCs w:val="24"/>
          <w:highlight w:val="none"/>
          <w:shd w:val="clear" w:color="auto" w:fill="auto"/>
        </w:rPr>
      </w:pPr>
      <w:r/>
      <w:bookmarkStart w:id="173" w:name="_GoBack"/>
      <w:r/>
      <w:bookmarkEnd w:id="173"/>
      <w:r>
        <w:rPr>
          <w:rFonts w:hint="eastAsia" w:ascii="宋体" w:hAnsi="宋体" w:eastAsia="宋体" w:cs="宋体"/>
          <w:b/>
          <w:color w:val="auto"/>
          <w:sz w:val="24"/>
          <w:szCs w:val="24"/>
          <w:highlight w:val="none"/>
          <w:shd w:val="clear" w:color="auto" w:fill="auto"/>
        </w:rPr>
        <w:t xml:space="preserve">五、产权担保</w:t>
      </w:r>
      <w:r/>
    </w:p>
    <w:p>
      <w:pPr>
        <w:pStyle w:val="824"/>
        <w:ind w:left="408" w:hanging="408"/>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5.1 乙方保证所交付的合同标的的所有权完全属于乙方且无任何抵押、查封等产权瑕疵。</w:t>
      </w:r>
      <w:r/>
    </w:p>
    <w:p>
      <w:pPr>
        <w:pStyle w:val="824"/>
        <w:ind w:left="410" w:hanging="410"/>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六、履约保证金</w:t>
      </w:r>
      <w:r/>
    </w:p>
    <w:p>
      <w:pPr>
        <w:pStyle w:val="824"/>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6.1 乙方交纳人民币_________元作为本合同的履约保证金。</w:t>
      </w:r>
      <w:r/>
    </w:p>
    <w:p>
      <w:pPr>
        <w:pStyle w:val="824"/>
        <w:ind w:left="210" w:firstLine="240"/>
        <w:jc w:val="both"/>
        <w:spacing w:before="120" w:beforeAutospacing="0" w:after="120" w:afterAutospacing="0"/>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（备注：合同金额的</w:t>
      </w:r>
      <w:r>
        <w:rPr>
          <w:rFonts w:hint="eastAsia" w:ascii="宋体" w:hAnsi="宋体" w:eastAsia="宋体" w:cs="宋体"/>
          <w:color w:val="auto"/>
          <w:sz w:val="24"/>
          <w:szCs w:val="24"/>
          <w:highlight w:val="none"/>
          <w:shd w:val="clear" w:color="auto" w:fill="auto"/>
          <w:lang w:val="en-US" w:eastAsia="zh-CN"/>
        </w:rPr>
        <w:t xml:space="preserve">5</w:t>
      </w:r>
      <w:r>
        <w:rPr>
          <w:rFonts w:hint="eastAsia" w:ascii="宋体" w:hAnsi="宋体" w:eastAsia="宋体" w:cs="宋体"/>
          <w:color w:val="auto"/>
          <w:sz w:val="24"/>
          <w:szCs w:val="24"/>
          <w:highlight w:val="none"/>
          <w:shd w:val="clear" w:color="auto" w:fill="auto"/>
        </w:rPr>
        <w:t xml:space="preserve">%，采购人</w:t>
      </w:r>
      <w:r>
        <w:rPr>
          <w:rFonts w:hint="eastAsia" w:ascii="宋体" w:hAnsi="宋体" w:eastAsia="宋体" w:cs="宋体"/>
          <w:color w:val="auto"/>
          <w:sz w:val="24"/>
          <w:szCs w:val="24"/>
          <w:highlight w:val="none"/>
          <w:shd w:val="clear" w:color="auto" w:fill="auto"/>
          <w:lang w:eastAsia="zh-CN"/>
        </w:rPr>
        <w:t xml:space="preserve">应当</w:t>
      </w:r>
      <w:r>
        <w:rPr>
          <w:rFonts w:hint="eastAsia" w:ascii="宋体" w:hAnsi="宋体" w:eastAsia="宋体" w:cs="宋体"/>
          <w:color w:val="auto"/>
          <w:sz w:val="24"/>
          <w:szCs w:val="24"/>
          <w:highlight w:val="none"/>
          <w:shd w:val="clear" w:color="auto" w:fill="auto"/>
        </w:rPr>
        <w:t xml:space="preserve">对AA评级及以上政府采购供应商（需提供信用管理部门备案的第三方信用报告）免收履约保证金或降低履约保证金缴纳比例。</w:t>
      </w:r>
      <w:r>
        <w:rPr>
          <w:rFonts w:hint="eastAsia" w:ascii="宋体" w:hAnsi="宋体" w:eastAsia="宋体" w:cs="宋体"/>
          <w:color w:val="auto"/>
          <w:sz w:val="24"/>
          <w:szCs w:val="24"/>
          <w:highlight w:val="none"/>
          <w:shd w:val="clear" w:color="auto" w:fill="auto"/>
          <w:lang w:eastAsia="zh-CN"/>
        </w:rPr>
        <w:t xml:space="preserve">）</w:t>
      </w:r>
      <w:r/>
    </w:p>
    <w:p>
      <w:pPr>
        <w:pStyle w:val="824"/>
        <w:jc w:val="both"/>
        <w:spacing w:before="120" w:beforeAutospacing="0" w:after="120" w:afterAutospacing="0"/>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6.</w:t>
      </w:r>
      <w:r>
        <w:rPr>
          <w:rFonts w:hint="eastAsia" w:ascii="宋体" w:hAnsi="宋体" w:eastAsia="宋体" w:cs="宋体"/>
          <w:color w:val="auto"/>
          <w:sz w:val="24"/>
          <w:szCs w:val="24"/>
          <w:highlight w:val="none"/>
          <w:shd w:val="clear" w:color="auto" w:fill="auto"/>
          <w:lang w:val="en-US" w:eastAsia="zh-CN"/>
        </w:rPr>
        <w:t xml:space="preserve">2确需收取履约保证金的，</w:t>
      </w:r>
      <w:r>
        <w:rPr>
          <w:rFonts w:hint="eastAsia" w:ascii="宋体" w:hAnsi="宋体" w:eastAsia="宋体" w:cs="宋体"/>
          <w:color w:val="auto"/>
          <w:sz w:val="24"/>
          <w:szCs w:val="24"/>
          <w:highlight w:val="none"/>
          <w:shd w:val="clear" w:color="auto" w:fill="auto"/>
          <w:lang w:eastAsia="zh-CN"/>
        </w:rPr>
        <w:t xml:space="preserve">履约保证金的缴纳形式：</w:t>
      </w:r>
      <w:r/>
    </w:p>
    <w:p>
      <w:pPr>
        <w:pStyle w:val="824"/>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 xml:space="preserve">6.2.1</w:t>
      </w:r>
      <w:r>
        <w:rPr>
          <w:rFonts w:hint="eastAsia" w:ascii="宋体" w:hAnsi="宋体" w:eastAsia="宋体" w:cs="宋体"/>
          <w:color w:val="auto"/>
          <w:sz w:val="24"/>
          <w:szCs w:val="24"/>
          <w:highlight w:val="none"/>
          <w:shd w:val="clear" w:color="auto" w:fill="auto"/>
        </w:rPr>
        <w:t xml:space="preserve">供应商应当以支票、汇票、本票或者金融机构、担保机构出具的保函等非现金形式提交</w:t>
      </w:r>
      <w:r>
        <w:rPr>
          <w:rFonts w:hint="eastAsia" w:ascii="宋体" w:hAnsi="宋体" w:eastAsia="宋体" w:cs="宋体"/>
          <w:color w:val="auto"/>
          <w:sz w:val="24"/>
          <w:szCs w:val="24"/>
          <w:highlight w:val="none"/>
          <w:shd w:val="clear" w:color="auto" w:fill="auto"/>
          <w:lang w:eastAsia="zh-CN"/>
        </w:rPr>
        <w:t xml:space="preserve">履约保证金</w:t>
      </w:r>
      <w:r>
        <w:rPr>
          <w:rFonts w:hint="eastAsia" w:ascii="宋体" w:hAnsi="宋体" w:eastAsia="宋体" w:cs="宋体"/>
          <w:color w:val="auto"/>
          <w:sz w:val="24"/>
          <w:szCs w:val="24"/>
          <w:highlight w:val="none"/>
          <w:shd w:val="clear" w:color="auto" w:fill="auto"/>
        </w:rPr>
        <w:t xml:space="preserve">。依据《关于在全省政府采购领域推行电子履约保函（保险）的通知》，鼓励供应商自愿使用</w:t>
      </w:r>
      <w:r>
        <w:rPr>
          <w:rFonts w:hint="eastAsia" w:ascii="宋体" w:hAnsi="宋体" w:eastAsia="宋体" w:cs="宋体"/>
          <w:color w:val="auto"/>
          <w:sz w:val="24"/>
          <w:szCs w:val="24"/>
          <w:highlight w:val="none"/>
          <w:shd w:val="clear" w:color="auto" w:fill="auto"/>
          <w:lang w:eastAsia="zh-CN"/>
        </w:rPr>
        <w:t xml:space="preserve">电子</w:t>
      </w:r>
      <w:r>
        <w:rPr>
          <w:rFonts w:hint="eastAsia" w:ascii="宋体" w:hAnsi="宋体" w:eastAsia="宋体" w:cs="宋体"/>
          <w:color w:val="auto"/>
          <w:sz w:val="24"/>
          <w:szCs w:val="24"/>
          <w:highlight w:val="none"/>
          <w:shd w:val="clear" w:color="auto" w:fill="auto"/>
        </w:rPr>
        <w:t xml:space="preserve">履约保函（保险）代替缴纳履约保证金</w:t>
      </w:r>
      <w:r>
        <w:rPr>
          <w:rFonts w:hint="eastAsia" w:ascii="宋体" w:hAnsi="宋体" w:eastAsia="宋体" w:cs="宋体"/>
          <w:color w:val="auto"/>
          <w:sz w:val="24"/>
          <w:szCs w:val="24"/>
          <w:highlight w:val="none"/>
          <w:shd w:val="clear" w:color="auto" w:fill="auto"/>
          <w:lang w:eastAsia="zh-CN"/>
        </w:rPr>
        <w:t xml:space="preserve">。</w:t>
      </w:r>
      <w:r/>
    </w:p>
    <w:p>
      <w:pPr>
        <w:pStyle w:val="824"/>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6.2.2 如以履约保函（保险）形式缴纳履约保证金，供应商可通过政府采购电子履约保函（保险）平台（www.jsdzbh.com）在线申请履约保函（保险）。</w:t>
      </w:r>
      <w:r/>
    </w:p>
    <w:p>
      <w:pPr>
        <w:pStyle w:val="824"/>
        <w:ind w:left="408" w:hanging="408"/>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合同履行结束后，甲方应及时退还交纳的履约保证金。</w:t>
      </w:r>
      <w:r/>
    </w:p>
    <w:p>
      <w:pP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履约保证金的退还：</w:t>
      </w:r>
      <w:r/>
    </w:p>
    <w:p>
      <w:pP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.1方式：退还至投标人缴纳履约保证金的账户。如为保函，在到期时自行失效。</w:t>
      </w:r>
      <w:r/>
    </w:p>
    <w:p>
      <w:pP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.2时间：验收合格且采购人收到发票后30日内。</w:t>
      </w:r>
      <w:r/>
    </w:p>
    <w:p>
      <w:pP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.3条件：按合同要求全部履约完成并经采购人验收合格，且采购人收到中标人出具的发票。</w:t>
      </w:r>
      <w:r/>
    </w:p>
    <w:p>
      <w:pP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.4不予退还情形：</w:t>
      </w:r>
      <w:r/>
    </w:p>
    <w:p>
      <w:pP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除不可抗力情况外，投标人出现下列情形之一的，其履约保证金，招标人将视情节决定不予退还或部分不予退还。</w:t>
      </w:r>
      <w:r/>
    </w:p>
    <w:p>
      <w:pP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（1）中标人无正当理由拒绝签订合同的，或者在签订合同时向采购人提出附加条件或者更改合同实质性内容要求的；</w:t>
      </w:r>
      <w:r/>
    </w:p>
    <w:p>
      <w:pP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（2）中标人不履行与采购人订立的合同的；</w:t>
      </w:r>
      <w:r/>
    </w:p>
    <w:p>
      <w:pP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（3）中标人所供货物或服务不符合招标文件规定要求的；</w:t>
      </w:r>
      <w:r/>
    </w:p>
    <w:p>
      <w:pP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（4）中标人采取欺骗、弄虚作假方式投标的或与</w:t>
      </w:r>
      <w:r>
        <w:rPr>
          <w:rFonts w:hint="eastAsia" w:ascii="宋体" w:hAnsi="宋体" w:eastAsia="宋体" w:cs="宋体"/>
          <w:color w:val="auto"/>
          <w:sz w:val="24"/>
          <w:szCs w:val="24"/>
          <w:highlight w:val="none"/>
          <w:shd w:val="clear" w:color="auto" w:fill="auto"/>
          <w:lang w:eastAsia="zh-CN"/>
        </w:rPr>
        <w:t xml:space="preserve">其他</w:t>
      </w:r>
      <w:r>
        <w:rPr>
          <w:rFonts w:hint="eastAsia" w:ascii="宋体" w:hAnsi="宋体" w:eastAsia="宋体" w:cs="宋体"/>
          <w:color w:val="auto"/>
          <w:sz w:val="24"/>
          <w:szCs w:val="24"/>
          <w:highlight w:val="none"/>
          <w:shd w:val="clear" w:color="auto" w:fill="auto"/>
        </w:rPr>
        <w:t xml:space="preserve">投标人串通投标的；</w:t>
      </w:r>
      <w:r/>
    </w:p>
    <w:p>
      <w:pP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（5）中标人将合同内容转包、违法分包的；</w:t>
      </w:r>
      <w:r/>
    </w:p>
    <w:p>
      <w:pP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（6）中标人故意捏造事实或伪造证明材料，进行虚假恶意投诉或反映的。</w:t>
      </w:r>
      <w:r/>
    </w:p>
    <w:p>
      <w:pP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824"/>
        <w:jc w:val="both"/>
        <w:spacing w:before="145" w:beforeAutospacing="0" w:after="145"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七、合同转包或分包</w:t>
      </w:r>
      <w:r/>
    </w:p>
    <w:p>
      <w:pPr>
        <w:pStyle w:val="824"/>
        <w:jc w:val="both"/>
        <w:spacing w:before="145" w:beforeAutospacing="0" w:after="145"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7.1乙方不得将合同标的转包给他人履行。</w:t>
      </w:r>
      <w:r/>
    </w:p>
    <w:p>
      <w:pPr>
        <w:pStyle w:val="824"/>
        <w:jc w:val="both"/>
        <w:spacing w:before="145" w:beforeAutospacing="0" w:after="145"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7.2乙方不得将合同标的分包给他人履行。</w:t>
      </w:r>
      <w:r/>
    </w:p>
    <w:p>
      <w:pPr>
        <w:pStyle w:val="824"/>
        <w:jc w:val="both"/>
        <w:spacing w:before="145" w:beforeAutospacing="0" w:after="145"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7.3乙方如有转包或未经甲方同意的分包行为，甲方有权解除合同。</w:t>
      </w:r>
      <w:r/>
    </w:p>
    <w:p>
      <w:pPr>
        <w:pStyle w:val="824"/>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八、合同款项支付</w:t>
      </w:r>
      <w:r/>
    </w:p>
    <w:p>
      <w:pPr>
        <w:pStyle w:val="824"/>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8.1合同款项的支付方式及进度安排</w:t>
      </w:r>
      <w:r/>
    </w:p>
    <w:p>
      <w:pPr>
        <w:pStyle w:val="824"/>
        <w:ind w:firstLine="720"/>
        <w:jc w:val="both"/>
        <w:spacing w:before="120" w:beforeAutospacing="0" w:after="120" w:afterAutospacing="0"/>
        <w:rPr>
          <w:rFonts w:hint="eastAsia" w:ascii="宋体" w:hAnsi="宋体" w:eastAsia="宋体" w:cs="宋体"/>
          <w:color w:val="auto"/>
          <w:sz w:val="24"/>
          <w:szCs w:val="24"/>
          <w:highlight w:val="red"/>
          <w:shd w:val="clear" w:color="auto" w:fill="auto"/>
          <w:lang w:eastAsia="zh-CN"/>
        </w:rPr>
      </w:pPr>
      <w:r>
        <w:rPr>
          <w:rFonts w:hint="eastAsia" w:ascii="宋体" w:hAnsi="宋体" w:eastAsia="宋体" w:cs="宋体"/>
          <w:color w:val="auto"/>
          <w:sz w:val="24"/>
          <w:szCs w:val="24"/>
          <w:highlight w:val="red"/>
          <w:shd w:val="clear" w:color="auto" w:fill="auto"/>
        </w:rPr>
        <w:t xml:space="preserve">合同签订后付预付合同款的50%，系统建成经采购人验收合格后付至合同款的90%，余款在验收合格满半年后付清。</w:t>
      </w:r>
      <w:r>
        <w:rPr>
          <w:rFonts w:hint="eastAsia" w:ascii="宋体" w:hAnsi="宋体" w:eastAsia="宋体" w:cs="宋体"/>
          <w:color w:val="auto"/>
          <w:sz w:val="24"/>
          <w:szCs w:val="24"/>
          <w:highlight w:val="red"/>
          <w:shd w:val="clear" w:color="auto" w:fill="auto"/>
          <w:lang w:eastAsia="zh-CN"/>
        </w:rPr>
        <w:t xml:space="preserve">（</w:t>
      </w:r>
      <w:r>
        <w:rPr>
          <w:rFonts w:hint="eastAsia" w:ascii="宋体" w:hAnsi="宋体" w:eastAsia="宋体" w:cs="宋体"/>
          <w:color w:val="auto"/>
          <w:sz w:val="24"/>
          <w:szCs w:val="24"/>
          <w:highlight w:val="red"/>
          <w:shd w:val="clear" w:color="auto" w:fill="auto"/>
          <w:lang w:val="en-US" w:eastAsia="zh-CN"/>
        </w:rPr>
        <w:t xml:space="preserve">每次付款前均需开具有效的税务发票</w:t>
      </w:r>
      <w:r>
        <w:rPr>
          <w:rFonts w:hint="eastAsia" w:ascii="宋体" w:hAnsi="宋体" w:eastAsia="宋体" w:cs="宋体"/>
          <w:color w:val="auto"/>
          <w:sz w:val="24"/>
          <w:szCs w:val="24"/>
          <w:highlight w:val="red"/>
          <w:shd w:val="clear" w:color="auto" w:fill="auto"/>
          <w:lang w:eastAsia="zh-CN"/>
        </w:rPr>
        <w:t xml:space="preserve">）</w:t>
      </w:r>
      <w:r/>
    </w:p>
    <w:p>
      <w:pPr>
        <w:pStyle w:val="824"/>
        <w:jc w:val="both"/>
        <w:spacing w:before="145" w:beforeAutospacing="0" w:after="145"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九、税费</w:t>
      </w:r>
      <w:r/>
    </w:p>
    <w:p>
      <w:pPr>
        <w:pStyle w:val="824"/>
        <w:jc w:val="both"/>
        <w:spacing w:before="145" w:beforeAutospacing="0" w:after="145"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9.1本合同执行中相关的一切税费均由乙方负担。</w:t>
      </w:r>
      <w:r/>
    </w:p>
    <w:p>
      <w:pPr>
        <w:pStyle w:val="824"/>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十、项目验收</w:t>
      </w:r>
      <w:r/>
    </w:p>
    <w:p>
      <w:pPr>
        <w:pStyle w:val="824"/>
        <w:ind w:left="480" w:hanging="480"/>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10.1 甲方依法组织履约验收工作。</w:t>
      </w:r>
      <w:r/>
    </w:p>
    <w:p>
      <w:pPr>
        <w:pStyle w:val="824"/>
        <w:ind w:left="480" w:hanging="480"/>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24"/>
        <w:ind w:left="480" w:hanging="480"/>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10.3 对于实际使用人和甲方分离的项目，甲方邀请实际使用人参与验收。</w:t>
      </w:r>
      <w:r/>
    </w:p>
    <w:p>
      <w:pPr>
        <w:pStyle w:val="824"/>
        <w:ind w:left="480" w:hanging="480"/>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10.4 如有必要，甲方邀请参加本项目的其他供应商或第三方专业机构及专家参与验收，相关意见将作为验收书的参考资料。</w:t>
      </w:r>
      <w:r/>
    </w:p>
    <w:p>
      <w:pPr>
        <w:pStyle w:val="824"/>
        <w:ind w:left="480" w:hanging="480"/>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24"/>
        <w:ind w:left="480" w:hanging="480"/>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auto"/>
          <w:sz w:val="24"/>
          <w:szCs w:val="24"/>
          <w:highlight w:val="none"/>
          <w:shd w:val="clear" w:color="auto" w:fill="auto"/>
          <w:lang w:eastAsia="zh-CN"/>
        </w:rPr>
        <w:t xml:space="preserve">中华人民共和国民法典</w:t>
      </w:r>
      <w:r>
        <w:rPr>
          <w:rFonts w:hint="eastAsia" w:ascii="宋体" w:hAnsi="宋体" w:eastAsia="宋体" w:cs="宋体"/>
          <w:color w:val="auto"/>
          <w:sz w:val="24"/>
          <w:szCs w:val="24"/>
          <w:highlight w:val="none"/>
          <w:shd w:val="clear" w:color="auto" w:fill="auto"/>
        </w:rPr>
        <w:t xml:space="preserve">》。乙方在履约过程中有政府采购法律法规规定的违法违规情形的,甲方将及时报告本级财政部门。</w:t>
      </w:r>
      <w:r/>
    </w:p>
    <w:p>
      <w:pPr>
        <w:pStyle w:val="824"/>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十一、违约责任</w:t>
      </w:r>
      <w:r/>
    </w:p>
    <w:p>
      <w:pPr>
        <w:ind w:firstLine="480"/>
        <w:keepLines w:val="0"/>
        <w:keepNext w:val="0"/>
        <w:pageBreakBefore w:val="0"/>
        <w:spacing w:before="0" w:after="0" w:line="420" w:lineRule="exact"/>
        <w:widowControl/>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1.甲方无正当理由拒收服务、拒付服务款的，甲方向乙方偿付合同总价的</w:t>
      </w:r>
      <w:r>
        <w:rPr>
          <w:rFonts w:hint="eastAsia" w:ascii="宋体" w:hAnsi="宋体" w:eastAsia="宋体" w:cs="宋体"/>
          <w:color w:val="auto"/>
          <w:sz w:val="24"/>
          <w:highlight w:val="none"/>
          <w:lang w:val="en-US" w:eastAsia="zh-CN"/>
        </w:rPr>
        <w:t xml:space="preserve">2</w:t>
      </w:r>
      <w:r>
        <w:rPr>
          <w:rFonts w:hint="eastAsia" w:ascii="宋体" w:hAnsi="宋体" w:cs="宋体"/>
          <w:color w:val="auto"/>
          <w:sz w:val="24"/>
          <w:highlight w:val="none"/>
        </w:rPr>
        <w:t xml:space="preserve">%违约金。</w:t>
      </w:r>
      <w:r/>
    </w:p>
    <w:p>
      <w:pPr>
        <w:ind w:firstLine="480"/>
        <w:keepLines w:val="0"/>
        <w:keepNext w:val="0"/>
        <w:pageBreakBefore w:val="0"/>
        <w:spacing w:before="0" w:after="0" w:line="420" w:lineRule="exact"/>
        <w:widowControl/>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2.甲方未按合同规定的期限向乙方支付服务款的，每逾期1天甲方向乙方偿付欠款总额的5‰滞纳金，但累计滞纳金总额不超过欠款总额的5%。</w:t>
      </w:r>
      <w:r/>
    </w:p>
    <w:p>
      <w:pPr>
        <w:ind w:firstLine="480"/>
        <w:keepLines w:val="0"/>
        <w:keepNext w:val="0"/>
        <w:pageBreakBefore w:val="0"/>
        <w:spacing w:before="0" w:after="0" w:line="420" w:lineRule="exact"/>
        <w:widowControl/>
        <w:tabs>
          <w:tab w:val="left" w:pos="900" w:leader="none"/>
        </w:tabs>
        <w:rPr>
          <w:rFonts w:hint="eastAsia" w:ascii="宋体" w:hAnsi="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cs="宋体"/>
          <w:color w:val="auto"/>
          <w:sz w:val="24"/>
          <w:highlight w:val="none"/>
        </w:rPr>
        <w:t xml:space="preserve">.如乙方不能交付服务的，乙方应向甲方支付合同总价</w:t>
      </w:r>
      <w:r>
        <w:rPr>
          <w:rFonts w:hint="eastAsia" w:ascii="宋体" w:hAnsi="宋体" w:eastAsia="宋体" w:cs="宋体"/>
          <w:color w:val="auto"/>
          <w:sz w:val="24"/>
          <w:highlight w:val="none"/>
          <w:lang w:val="en-US" w:eastAsia="zh-CN"/>
        </w:rPr>
        <w:t xml:space="preserve">10</w:t>
      </w:r>
      <w:r>
        <w:rPr>
          <w:rFonts w:hint="eastAsia" w:ascii="宋体" w:hAnsi="宋体" w:cs="宋体"/>
          <w:color w:val="auto"/>
          <w:sz w:val="24"/>
          <w:highlight w:val="none"/>
        </w:rPr>
        <w:t xml:space="preserve">%的违约金。</w:t>
      </w:r>
      <w:r/>
    </w:p>
    <w:p>
      <w:pPr>
        <w:ind w:firstLine="480"/>
        <w:keepLines w:val="0"/>
        <w:keepNext w:val="0"/>
        <w:pageBreakBefore w:val="0"/>
        <w:spacing w:before="0" w:after="0" w:line="420" w:lineRule="exact"/>
        <w:widowControl/>
        <w:tabs>
          <w:tab w:val="left" w:pos="900" w:leader="none"/>
        </w:tabs>
        <w:rPr>
          <w:rFonts w:hint="eastAsia" w:ascii="宋体" w:hAnsi="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cs="宋体"/>
          <w:color w:val="auto"/>
          <w:sz w:val="24"/>
          <w:highlight w:val="none"/>
        </w:rPr>
        <w:t xml:space="preserve">.乙方逾期交付的，每逾期1天，乙方向甲方偿付合同总额的5‰的滞纳金。如乙方逾期交付达10天，甲方有权解除合同，解除合同的通知自到达乙方时生效。</w:t>
      </w:r>
      <w:r/>
    </w:p>
    <w:p>
      <w:pPr>
        <w:ind w:firstLine="480"/>
        <w:keepLines w:val="0"/>
        <w:keepNext w:val="0"/>
        <w:pageBreakBefore w:val="0"/>
        <w:spacing w:before="0" w:after="0" w:line="420" w:lineRule="exact"/>
        <w:widowControl/>
        <w:tabs>
          <w:tab w:val="left" w:pos="900" w:leader="none"/>
        </w:tabs>
        <w:rPr>
          <w:rFonts w:hint="eastAsia" w:ascii="宋体" w:hAnsi="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cs="宋体"/>
          <w:color w:val="auto"/>
          <w:sz w:val="24"/>
          <w:highlight w:val="none"/>
        </w:rPr>
        <w:t xml:space="preserve">.乙方所交付的服务不符合合同规定的，甲方有权拒收。甲方拒收的，乙方应向甲方支付合同总款5%的违约金。</w:t>
      </w:r>
      <w:r/>
    </w:p>
    <w:p>
      <w:pPr>
        <w:ind w:firstLine="480"/>
        <w:keepLines w:val="0"/>
        <w:keepNext w:val="0"/>
        <w:pageBreakBefore w:val="0"/>
        <w:spacing w:before="0" w:after="0" w:line="420" w:lineRule="exact"/>
        <w:widowControl/>
        <w:tabs>
          <w:tab w:val="left" w:pos="900" w:leader="none"/>
        </w:tabs>
        <w:rPr>
          <w:rFonts w:hint="eastAsia" w:ascii="宋体" w:hAnsi="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cs="宋体"/>
          <w:color w:val="auto"/>
          <w:sz w:val="24"/>
          <w:highlight w:val="none"/>
        </w:rPr>
        <w:t xml:space="preserve">.在乙方承诺的或国家规定的质量保证期内（取两者中最长的期限），如经乙方2次整改仍不能达到合同约定的质量标准，乙方应退回全部合同价款，并按本条第3款处理，同时，乙方还须赔偿甲方因此遭受的损失。</w:t>
      </w:r>
      <w:r/>
    </w:p>
    <w:p>
      <w:pPr>
        <w:ind w:firstLine="480"/>
        <w:keepLines w:val="0"/>
        <w:keepNext w:val="0"/>
        <w:pageBreakBefore w:val="0"/>
        <w:spacing w:before="0" w:after="0" w:line="420" w:lineRule="exact"/>
        <w:widowControl/>
        <w:tabs>
          <w:tab w:val="left" w:pos="900" w:leader="none"/>
        </w:tabs>
        <w:rPr>
          <w:rFonts w:hint="eastAsia" w:ascii="宋体" w:hAnsi="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cs="宋体"/>
          <w:color w:val="auto"/>
          <w:sz w:val="24"/>
          <w:highlight w:val="none"/>
        </w:rPr>
        <w:t xml:space="preserve">.乙方未按本合同的规定和服务承诺提供伴随服务/售后服务的，应按合同总价款的5%向甲方承担违约责任。</w:t>
      </w:r>
      <w:r/>
    </w:p>
    <w:p>
      <w:pPr>
        <w:ind w:firstLine="480"/>
        <w:keepLines w:val="0"/>
        <w:keepNext w:val="0"/>
        <w:pageBreakBefore w:val="0"/>
        <w:spacing w:before="0" w:after="0" w:line="420" w:lineRule="exact"/>
        <w:widowControl/>
        <w:tabs>
          <w:tab w:val="left" w:pos="900" w:leader="none"/>
        </w:tabs>
        <w:rPr>
          <w:rFonts w:hint="eastAsia" w:ascii="宋体" w:hAnsi="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cs="宋体"/>
          <w:color w:val="auto"/>
          <w:sz w:val="24"/>
          <w:highlight w:val="none"/>
        </w:rPr>
        <w:t xml:space="preserve">.乙方在承担上述</w:t>
      </w:r>
      <w:r>
        <w:rPr>
          <w:rFonts w:hint="eastAsia" w:ascii="宋体" w:hAnsi="宋体" w:eastAsia="宋体" w:cs="宋体"/>
          <w:color w:val="auto"/>
          <w:sz w:val="24"/>
          <w:highlight w:val="none"/>
          <w:lang w:val="en-US" w:eastAsia="zh-CN"/>
        </w:rPr>
        <w:t xml:space="preserve">3-7</w:t>
      </w:r>
      <w:r>
        <w:rPr>
          <w:rFonts w:hint="eastAsia" w:ascii="宋体" w:hAnsi="宋体" w:cs="宋体"/>
          <w:color w:val="auto"/>
          <w:sz w:val="24"/>
          <w:highlight w:val="none"/>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80"/>
        <w:keepLines w:val="0"/>
        <w:keepNext w:val="0"/>
        <w:pageBreakBefore w:val="0"/>
        <w:spacing w:before="0" w:after="0" w:line="420" w:lineRule="exact"/>
        <w:widowControl/>
        <w:tabs>
          <w:tab w:val="left" w:pos="900" w:leader="none"/>
        </w:tabs>
        <w:rPr>
          <w:rFonts w:hint="eastAsia" w:ascii="宋体" w:hAnsi="宋体" w:cs="宋体"/>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cs="宋体"/>
          <w:color w:val="auto"/>
          <w:sz w:val="24"/>
          <w:highlight w:val="none"/>
        </w:rPr>
        <w:t xml:space="preserve">.乙方响应属虚假承诺，或经权威部门检测提供的服务不能满足投标（响应）文件要求，或是由于乙方的过错造成合同无法继续履行的，乙方履约保证金不予退还外，还应向甲方支付不少于合同总价30%赔偿金。</w:t>
      </w:r>
      <w:r/>
    </w:p>
    <w:p>
      <w:pPr>
        <w:ind w:firstLine="482"/>
        <w:keepLines w:val="0"/>
        <w:keepNext w:val="0"/>
        <w:pageBreakBefore w:val="0"/>
        <w:spacing w:before="0" w:after="0" w:line="420" w:lineRule="exact"/>
        <w:widowControl/>
        <w:tabs>
          <w:tab w:val="left" w:pos="900"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第</w:t>
      </w:r>
      <w:r>
        <w:rPr>
          <w:rFonts w:hint="eastAsia" w:ascii="宋体" w:hAnsi="宋体" w:eastAsia="宋体" w:cs="宋体"/>
          <w:b/>
          <w:bCs/>
          <w:color w:val="auto"/>
          <w:sz w:val="24"/>
          <w:highlight w:val="none"/>
          <w:lang w:val="en-US" w:eastAsia="zh-CN"/>
        </w:rPr>
        <w:t xml:space="preserve">八</w:t>
      </w:r>
      <w:r>
        <w:rPr>
          <w:rFonts w:hint="eastAsia" w:ascii="宋体" w:hAnsi="宋体" w:cs="宋体"/>
          <w:b/>
          <w:bCs/>
          <w:color w:val="auto"/>
          <w:sz w:val="24"/>
          <w:highlight w:val="none"/>
        </w:rPr>
        <w:t xml:space="preserve">条 合同的变更和终止</w:t>
      </w:r>
      <w:r/>
    </w:p>
    <w:p>
      <w:pPr>
        <w:ind w:firstLine="480"/>
        <w:keepLines w:val="0"/>
        <w:keepNext w:val="0"/>
        <w:pageBreakBefore w:val="0"/>
        <w:spacing w:before="0" w:after="0" w:line="420" w:lineRule="exact"/>
        <w:widowControl/>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除发生法律规定的不能预见、不能避免并不能克服的客观情况外，甲乙双方不得放弃或拒绝履行合同。乙方放弃或拒绝履行合同，履约保证金不予退还，并按规定接受相关部门的处罚。</w:t>
      </w:r>
      <w:r/>
    </w:p>
    <w:p>
      <w:pPr>
        <w:ind w:firstLine="482"/>
        <w:keepLines w:val="0"/>
        <w:keepNext w:val="0"/>
        <w:pageBreakBefore w:val="0"/>
        <w:spacing w:before="0" w:after="0" w:line="420" w:lineRule="exact"/>
        <w:widowControl/>
        <w:tabs>
          <w:tab w:val="left" w:pos="900"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第</w:t>
      </w:r>
      <w:r>
        <w:rPr>
          <w:rFonts w:hint="eastAsia" w:ascii="宋体" w:hAnsi="宋体" w:eastAsia="宋体" w:cs="宋体"/>
          <w:b/>
          <w:bCs/>
          <w:color w:val="auto"/>
          <w:sz w:val="24"/>
          <w:highlight w:val="none"/>
          <w:lang w:val="en-US" w:eastAsia="zh-CN"/>
        </w:rPr>
        <w:t xml:space="preserve">九</w:t>
      </w:r>
      <w:r>
        <w:rPr>
          <w:rFonts w:hint="eastAsia" w:ascii="宋体" w:hAnsi="宋体" w:cs="宋体"/>
          <w:b/>
          <w:bCs/>
          <w:color w:val="auto"/>
          <w:sz w:val="24"/>
          <w:highlight w:val="none"/>
        </w:rPr>
        <w:t xml:space="preserve">条 合同的转让</w:t>
      </w:r>
      <w:r/>
    </w:p>
    <w:p>
      <w:pPr>
        <w:ind w:firstLine="480"/>
        <w:keepLines w:val="0"/>
        <w:keepNext w:val="0"/>
        <w:pageBreakBefore w:val="0"/>
        <w:spacing w:before="0" w:after="0" w:line="420" w:lineRule="exact"/>
        <w:widowControl/>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乙方不得擅自部分或全部转让其应履行的合同义务。</w:t>
      </w:r>
      <w:r/>
    </w:p>
    <w:p>
      <w:pPr>
        <w:ind w:firstLine="482"/>
        <w:keepLines w:val="0"/>
        <w:keepNext w:val="0"/>
        <w:pageBreakBefore w:val="0"/>
        <w:spacing w:before="0" w:after="0" w:line="420" w:lineRule="exact"/>
        <w:widowControl/>
        <w:tabs>
          <w:tab w:val="left" w:pos="900"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第十条 争议的解决</w:t>
      </w:r>
      <w:r/>
    </w:p>
    <w:p>
      <w:pPr>
        <w:ind w:firstLine="480"/>
        <w:keepLines w:val="0"/>
        <w:keepNext w:val="0"/>
        <w:pageBreakBefore w:val="0"/>
        <w:spacing w:before="0" w:after="0" w:line="420" w:lineRule="exact"/>
        <w:widowControl/>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1.因服务的质量问题发生争议的，应当邀请国家认可的质量检测机构对服务质量进行鉴定。符合标准的，鉴定费由甲方承担；不符合标准的，鉴定费由乙方承担。</w:t>
      </w:r>
      <w:r/>
    </w:p>
    <w:p>
      <w:pPr>
        <w:ind w:firstLine="480"/>
        <w:keepLines w:val="0"/>
        <w:keepNext w:val="0"/>
        <w:pageBreakBefore w:val="0"/>
        <w:spacing w:before="0" w:after="0" w:line="420" w:lineRule="exact"/>
        <w:widowControl/>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2.因履行本合同引起的或与本合同有关的争议，甲、乙双方应首先通过友好协商解决，如果协商不能解决争议，则采取以下第（</w:t>
      </w:r>
      <w:r>
        <w:rPr>
          <w:rFonts w:hint="eastAsia" w:ascii="宋体" w:hAnsi="宋体" w:eastAsia="宋体" w:cs="宋体"/>
          <w:color w:val="auto"/>
          <w:sz w:val="24"/>
          <w:highlight w:val="none"/>
          <w:lang w:val="en-US" w:eastAsia="zh-CN"/>
        </w:rPr>
        <w:t xml:space="preserve">1</w:t>
      </w:r>
      <w:r>
        <w:rPr>
          <w:rFonts w:hint="eastAsia" w:ascii="宋体" w:hAnsi="宋体" w:cs="宋体"/>
          <w:color w:val="auto"/>
          <w:sz w:val="24"/>
          <w:highlight w:val="none"/>
        </w:rPr>
        <w:t xml:space="preserve">）种方式解决争议：</w:t>
      </w:r>
      <w:r/>
    </w:p>
    <w:p>
      <w:pPr>
        <w:ind w:firstLine="480"/>
        <w:keepLines w:val="0"/>
        <w:keepNext w:val="0"/>
        <w:pageBreakBefore w:val="0"/>
        <w:spacing w:before="0" w:after="0" w:line="420" w:lineRule="exact"/>
        <w:widowControl/>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（1）向甲方所在地有管辖权的人民法院提起诉讼；</w:t>
      </w:r>
      <w:r/>
    </w:p>
    <w:p>
      <w:pPr>
        <w:ind w:firstLine="480"/>
        <w:keepLines w:val="0"/>
        <w:keepNext w:val="0"/>
        <w:pageBreakBefore w:val="0"/>
        <w:spacing w:before="0" w:after="0" w:line="420" w:lineRule="exact"/>
        <w:widowControl/>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（2）向</w:t>
      </w:r>
      <w:r>
        <w:rPr>
          <w:rFonts w:hint="eastAsia" w:ascii="宋体" w:hAnsi="宋体" w:eastAsia="宋体" w:cs="宋体"/>
          <w:color w:val="auto"/>
          <w:sz w:val="24"/>
          <w:highlight w:val="none"/>
          <w:lang w:val="en-US" w:eastAsia="zh-CN"/>
        </w:rPr>
        <w:t xml:space="preserve">响水</w:t>
      </w:r>
      <w:r>
        <w:rPr>
          <w:rFonts w:hint="eastAsia" w:ascii="宋体" w:hAnsi="宋体" w:cs="宋体"/>
          <w:color w:val="auto"/>
          <w:sz w:val="24"/>
          <w:highlight w:val="none"/>
        </w:rPr>
        <w:t xml:space="preserve">仲裁委员会按其仲裁规则申请仲裁。</w:t>
      </w:r>
      <w:r/>
    </w:p>
    <w:p>
      <w:pPr>
        <w:ind w:firstLine="480"/>
        <w:keepLines w:val="0"/>
        <w:keepNext w:val="0"/>
        <w:pageBreakBefore w:val="0"/>
        <w:spacing w:before="0" w:after="0" w:line="420" w:lineRule="exact"/>
        <w:widowControl/>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如没有约定，默认采取第2种方式解决争议。</w:t>
      </w:r>
      <w:r/>
    </w:p>
    <w:p>
      <w:pPr>
        <w:ind w:firstLine="480"/>
        <w:keepLines w:val="0"/>
        <w:keepNext w:val="0"/>
        <w:pageBreakBefore w:val="0"/>
        <w:spacing w:before="0" w:after="0" w:line="420" w:lineRule="exact"/>
        <w:widowControl/>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3.仲裁期间本合同应继续履行。</w:t>
      </w:r>
      <w:r/>
    </w:p>
    <w:p>
      <w:pPr>
        <w:ind w:firstLine="482"/>
        <w:keepLines w:val="0"/>
        <w:keepNext w:val="0"/>
        <w:pageBreakBefore w:val="0"/>
        <w:spacing w:before="0" w:after="0" w:line="420" w:lineRule="exact"/>
        <w:widowControl/>
        <w:tabs>
          <w:tab w:val="left" w:pos="900"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第十</w:t>
      </w:r>
      <w:r>
        <w:rPr>
          <w:rFonts w:hint="eastAsia" w:ascii="宋体" w:hAnsi="宋体" w:eastAsia="宋体" w:cs="宋体"/>
          <w:b/>
          <w:bCs/>
          <w:color w:val="auto"/>
          <w:sz w:val="24"/>
          <w:highlight w:val="none"/>
          <w:lang w:val="en-US" w:eastAsia="zh-CN"/>
        </w:rPr>
        <w:t xml:space="preserve">一</w:t>
      </w:r>
      <w:r>
        <w:rPr>
          <w:rFonts w:hint="eastAsia" w:ascii="宋体" w:hAnsi="宋体" w:cs="宋体"/>
          <w:b/>
          <w:bCs/>
          <w:color w:val="auto"/>
          <w:sz w:val="24"/>
          <w:highlight w:val="none"/>
        </w:rPr>
        <w:t xml:space="preserve">条</w:t>
      </w:r>
      <w:r>
        <w:rPr>
          <w:rFonts w:hint="eastAsia" w:ascii="宋体" w:hAnsi="宋体" w:eastAsia="宋体" w:cs="宋体"/>
          <w:b/>
          <w:bCs/>
          <w:color w:val="auto"/>
          <w:sz w:val="24"/>
          <w:highlight w:val="none"/>
          <w:lang w:val="en-US" w:eastAsia="zh-CN"/>
        </w:rPr>
        <w:t xml:space="preserve"> </w:t>
      </w:r>
      <w:r>
        <w:rPr>
          <w:rFonts w:hint="eastAsia" w:ascii="宋体" w:hAnsi="宋体" w:cs="宋体"/>
          <w:b/>
          <w:bCs/>
          <w:color w:val="auto"/>
          <w:sz w:val="24"/>
          <w:highlight w:val="none"/>
        </w:rPr>
        <w:t xml:space="preserve">诚实信用</w:t>
      </w:r>
      <w:r/>
    </w:p>
    <w:p>
      <w:pPr>
        <w:ind w:firstLine="480"/>
        <w:keepLines w:val="0"/>
        <w:keepNext w:val="0"/>
        <w:pageBreakBefore w:val="0"/>
        <w:spacing w:before="0" w:after="0" w:line="420" w:lineRule="exact"/>
        <w:widowControl/>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乙方应诚实信用，严格按照采购文件要求和响应承诺履行合同，不向甲方进行商业贿赂或者提供不正当利益。</w:t>
      </w:r>
      <w:r/>
    </w:p>
    <w:p>
      <w:pPr>
        <w:ind w:firstLine="482"/>
        <w:keepLines w:val="0"/>
        <w:keepNext w:val="0"/>
        <w:pageBreakBefore w:val="0"/>
        <w:spacing w:before="0" w:after="0" w:line="420" w:lineRule="exact"/>
        <w:widowControl/>
        <w:tabs>
          <w:tab w:val="left" w:pos="900"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第十</w:t>
      </w:r>
      <w:r>
        <w:rPr>
          <w:rFonts w:hint="eastAsia" w:ascii="宋体" w:hAnsi="宋体" w:eastAsia="宋体" w:cs="宋体"/>
          <w:b/>
          <w:bCs/>
          <w:color w:val="auto"/>
          <w:sz w:val="24"/>
          <w:highlight w:val="none"/>
          <w:lang w:val="en-US" w:eastAsia="zh-CN"/>
        </w:rPr>
        <w:t xml:space="preserve">二</w:t>
      </w:r>
      <w:r>
        <w:rPr>
          <w:rFonts w:hint="eastAsia" w:ascii="宋体" w:hAnsi="宋体" w:cs="宋体"/>
          <w:b/>
          <w:bCs/>
          <w:color w:val="auto"/>
          <w:sz w:val="24"/>
          <w:highlight w:val="none"/>
        </w:rPr>
        <w:t xml:space="preserve">条 合同生效及其他</w:t>
      </w:r>
      <w:r/>
    </w:p>
    <w:p>
      <w:pPr>
        <w:ind w:firstLine="480"/>
        <w:keepLines w:val="0"/>
        <w:keepNext w:val="0"/>
        <w:pageBreakBefore w:val="0"/>
        <w:spacing w:before="0" w:after="0" w:line="420" w:lineRule="exact"/>
        <w:widowControl/>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1.本合同自双方签字盖章之日起生效。</w:t>
      </w:r>
      <w:r/>
    </w:p>
    <w:p>
      <w:pPr>
        <w:ind w:firstLine="480"/>
        <w:keepLines w:val="0"/>
        <w:keepNext w:val="0"/>
        <w:pageBreakBefore w:val="0"/>
        <w:spacing w:before="0" w:after="0" w:line="420" w:lineRule="exact"/>
        <w:widowControl/>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2.本合同一式</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rPr>
        <w:t xml:space="preserve">份，甲</w:t>
      </w:r>
      <w:r>
        <w:rPr>
          <w:rFonts w:hint="eastAsia" w:ascii="宋体" w:hAnsi="宋体" w:eastAsia="宋体" w:cs="宋体"/>
          <w:color w:val="auto"/>
          <w:sz w:val="24"/>
          <w:highlight w:val="none"/>
          <w:lang w:val="en-US" w:eastAsia="zh-CN"/>
        </w:rPr>
        <w:t xml:space="preserve">方</w:t>
      </w:r>
      <w:r>
        <w:rPr>
          <w:rFonts w:hint="eastAsia" w:ascii="宋体" w:hAnsi="宋体" w:cs="宋体"/>
          <w:color w:val="auto"/>
          <w:sz w:val="24"/>
          <w:highlight w:val="none"/>
        </w:rPr>
        <w:t xml:space="preserve">执</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rPr>
        <w:t xml:space="preserve">份</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乙方</w:t>
      </w:r>
      <w:r>
        <w:rPr>
          <w:rFonts w:hint="eastAsia" w:ascii="宋体" w:hAnsi="宋体" w:cs="宋体"/>
          <w:color w:val="auto"/>
          <w:sz w:val="24"/>
          <w:highlight w:val="none"/>
        </w:rPr>
        <w:t xml:space="preserve">执</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rPr>
        <w:t xml:space="preserve">份。</w:t>
      </w:r>
      <w:r/>
    </w:p>
    <w:p>
      <w:pPr>
        <w:ind w:firstLine="480"/>
        <w:keepLines w:val="0"/>
        <w:keepNext w:val="0"/>
        <w:pageBreakBefore w:val="0"/>
        <w:spacing w:before="0" w:after="0" w:line="420" w:lineRule="exact"/>
        <w:widowControl/>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3.本合同按照中华人民共和国的现行法律进行解释。</w:t>
      </w:r>
      <w:r/>
    </w:p>
    <w:p>
      <w:pPr>
        <w:ind w:firstLine="480"/>
        <w:keepLines w:val="0"/>
        <w:keepNext w:val="0"/>
        <w:pageBreakBefore w:val="0"/>
        <w:spacing w:before="0" w:after="0" w:line="420" w:lineRule="exact"/>
        <w:widowControl/>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4.其他：软件平台必须预留扩展接口，以适应今后其他的业务数据统计分析的无缝扩展，无条件提供数据格式、数据接口、数据定义、协议标准、库函数、开发控件等，提供标准的开放开发接口。</w:t>
      </w:r>
      <w:r/>
    </w:p>
    <w:p>
      <w:pPr>
        <w:pStyle w:val="824"/>
        <w:ind w:left="480" w:hanging="480"/>
        <w:jc w:val="both"/>
        <w:spacing w:before="120" w:beforeAutospacing="0" w:after="120" w:afterAutospacing="0" w:line="2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4"/>
        <w:ind w:left="480" w:hanging="480"/>
        <w:jc w:val="both"/>
        <w:spacing w:before="120" w:beforeAutospacing="0" w:after="120" w:afterAutospacing="0" w:line="2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4"/>
        <w:ind w:left="480" w:hanging="480"/>
        <w:jc w:val="both"/>
        <w:spacing w:before="120" w:beforeAutospacing="0" w:after="120" w:afterAutospacing="0" w:line="2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甲方：                        乙方： </w:t>
      </w:r>
      <w:r/>
    </w:p>
    <w:p>
      <w:pPr>
        <w:pStyle w:val="824"/>
        <w:jc w:val="both"/>
        <w:spacing w:before="120" w:beforeAutospacing="0" w:after="120" w:afterAutospacing="0" w:line="2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地址：                        地址： </w:t>
      </w:r>
      <w:r/>
    </w:p>
    <w:p>
      <w:pPr>
        <w:pStyle w:val="824"/>
        <w:jc w:val="both"/>
        <w:spacing w:before="120" w:beforeAutospacing="0" w:after="120" w:afterAutospacing="0" w:line="2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法定代表人或授权代表：        法定代表人或授权代表：</w:t>
      </w:r>
      <w:r/>
    </w:p>
    <w:p>
      <w:pPr>
        <w:pStyle w:val="824"/>
        <w:ind w:firstLine="240"/>
        <w:jc w:val="both"/>
        <w:spacing w:before="120" w:beforeAutospacing="0" w:after="120" w:afterAutospacing="0" w:line="2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联系电话：                联系电话：          </w:t>
      </w:r>
      <w:r/>
    </w:p>
    <w:p>
      <w:pPr>
        <w:pStyle w:val="824"/>
        <w:ind w:firstLine="420"/>
        <w:jc w:val="both"/>
        <w:spacing w:beforeAutospacing="0" w:afterAutospacing="0" w:line="2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签订日期：      年    月   日</w:t>
      </w:r>
      <w:r/>
    </w:p>
    <w:p>
      <w:pPr>
        <w:pStyle w:val="824"/>
        <w:jc w:val="center"/>
        <w:spacing w:before="120" w:beforeAutospacing="0" w:after="120" w:afterAutospacing="0" w:line="0" w:lineRule="atLeast"/>
        <w:rPr>
          <w:color w:val="auto"/>
          <w:highlight w:val="none"/>
          <w:shd w:val="clear" w:color="auto" w:fill="auto"/>
        </w:rPr>
      </w:pPr>
      <w:r/>
      <w:bookmarkStart w:id="145" w:name="_Toc479757211"/>
      <w:r/>
      <w:bookmarkStart w:id="146" w:name="_Toc120614244"/>
      <w:r/>
      <w:bookmarkStart w:id="147" w:name="_Toc16938590"/>
      <w:r/>
      <w:bookmarkStart w:id="148" w:name="_Toc20823346"/>
      <w:r/>
      <w:bookmarkStart w:id="149" w:name="_Toc462564139"/>
      <w:r/>
      <w:bookmarkStart w:id="150" w:name="_Hlt16619350"/>
      <w:r/>
      <w:bookmarkStart w:id="151" w:name="_Hlt16619369"/>
      <w:r>
        <w:rPr>
          <w:rFonts w:hint="eastAsia" w:ascii="宋体" w:hAnsi="宋体" w:eastAsia="宋体" w:cs="宋体"/>
          <w:color w:val="auto"/>
          <w:sz w:val="24"/>
          <w:szCs w:val="24"/>
          <w:highlight w:val="none"/>
          <w:shd w:val="clear" w:color="auto" w:fill="auto"/>
        </w:rPr>
        <w:br w:type="page" w:clear="all"/>
      </w:r>
      <w:r>
        <w:rPr>
          <w:rFonts w:hint="eastAsia" w:ascii="黑体" w:hAnsi="宋体" w:eastAsia="黑体" w:cs="黑体"/>
          <w:color w:val="auto"/>
          <w:sz w:val="44"/>
          <w:szCs w:val="44"/>
          <w:highlight w:val="none"/>
          <w:shd w:val="clear" w:color="auto" w:fill="auto"/>
        </w:rPr>
        <w:t xml:space="preserve"> 第</w:t>
      </w:r>
      <w:bookmarkEnd w:id="145"/>
      <w:r>
        <w:rPr>
          <w:rFonts w:hint="eastAsia" w:ascii="黑体" w:hAnsi="宋体" w:eastAsia="黑体" w:cs="黑体"/>
          <w:color w:val="auto"/>
          <w:sz w:val="44"/>
          <w:szCs w:val="44"/>
          <w:highlight w:val="none"/>
          <w:shd w:val="clear" w:color="auto" w:fill="auto"/>
        </w:rPr>
        <w:t xml:space="preserve">四章 采购需求</w:t>
      </w:r>
      <w:bookmarkEnd w:id="146"/>
      <w:r/>
      <w:bookmarkEnd w:id="147"/>
      <w:r/>
      <w:bookmarkEnd w:id="148"/>
      <w:r/>
      <w:bookmarkEnd w:id="149"/>
      <w:r/>
      <w:bookmarkStart w:id="152" w:name="_Toc49090575"/>
      <w:r/>
      <w:bookmarkEnd w:id="152"/>
      <w:r/>
      <w:bookmarkStart w:id="153" w:name="_Toc26554093"/>
      <w:r/>
      <w:bookmarkEnd w:id="153"/>
      <w:r/>
      <w:r/>
    </w:p>
    <w:p>
      <w:pPr>
        <w:pStyle w:val="824"/>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24"/>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采购需求包括拟采购的标的及其需要满足的技术、商务要求。</w:t>
      </w:r>
      <w:r/>
    </w:p>
    <w:p>
      <w:pPr>
        <w:pStyle w:val="824"/>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（一）、技术要求是指对采购标的功能和质量要求，包括性能、材料、结构、外观、安全，或者服务内容和标准等。</w:t>
      </w:r>
      <w:r/>
    </w:p>
    <w:p>
      <w:pPr>
        <w:pStyle w:val="824"/>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（二）、商务要求是指取得采购标的的时间、地点、财务和服务要求，包括交付（实施）的时间（期限）和地点（范围），付款条件（进度和方法），包装和运输，售后服务，保险等。</w:t>
      </w:r>
      <w:r/>
    </w:p>
    <w:p>
      <w:pPr>
        <w:pStyle w:val="835"/>
        <w:spacing w:line="440" w:lineRule="exact"/>
        <w:rPr>
          <w:rFonts w:cs="Arial" w:asciiTheme="minorEastAsia" w:hAnsiTheme="minorEastAsia" w:eastAsiaTheme="minorEastAsia"/>
          <w:b/>
          <w:sz w:val="24"/>
        </w:rPr>
      </w:pPr>
      <w:r>
        <w:rPr>
          <w:rFonts w:hint="eastAsia" w:cs="Arial" w:asciiTheme="minorEastAsia" w:hAnsiTheme="minorEastAsia" w:eastAsiaTheme="minorEastAsia"/>
          <w:b/>
          <w:sz w:val="24"/>
        </w:rPr>
        <w:t xml:space="preserve">一、项目概况</w:t>
      </w:r>
      <w:r/>
    </w:p>
    <w:p>
      <w:pPr>
        <w:pStyle w:val="835"/>
        <w:ind w:firstLine="480"/>
        <w:spacing w:line="500" w:lineRule="exact"/>
        <w:widowControl/>
        <w:rPr>
          <w:rFonts w:hint="eastAsia" w:cs="Arial" w:asciiTheme="minorEastAsia" w:hAnsiTheme="minorEastAsia" w:eastAsiaTheme="minorEastAsia"/>
          <w:sz w:val="24"/>
        </w:rPr>
      </w:pPr>
      <w:r>
        <w:rPr>
          <w:rFonts w:hint="eastAsia" w:cs="Arial" w:asciiTheme="minorEastAsia" w:hAnsiTheme="minorEastAsia" w:eastAsiaTheme="minorEastAsia"/>
          <w:sz w:val="24"/>
        </w:rPr>
        <w:t xml:space="preserve">（一）项目简介</w:t>
      </w:r>
      <w:r/>
    </w:p>
    <w:p>
      <w:pPr>
        <w:pStyle w:val="836"/>
        <w:ind w:left="0" w:firstLine="420"/>
        <w:keepLines w:val="0"/>
        <w:keepNext w:val="0"/>
        <w:widowControl/>
        <w:rPr>
          <w:rFonts w:hint="eastAsia" w:asciiTheme="minorEastAsia" w:hAnsiTheme="minorEastAsia" w:eastAsiaTheme="minorEastAsia"/>
          <w:sz w:val="24"/>
        </w:rPr>
        <w:suppressLineNumbers w:val="0"/>
      </w:pPr>
      <w:r>
        <w:rPr>
          <w:rFonts w:hint="eastAsia" w:ascii="宋体" w:hAnsi="宋体" w:eastAsia="宋体" w:cs="宋体"/>
          <w:color w:val="auto"/>
          <w:sz w:val="24"/>
          <w:szCs w:val="24"/>
          <w:lang w:val="en-US" w:eastAsia="zh-CN" w:bidi="ar-SA"/>
        </w:rPr>
        <w:t xml:space="preserve">为全面提升县属国企数字化水平，筑牢国资监管决策根基，健全完善国资监管体系，拟开展响水县国企资产清查和行政事业单位公物仓系统建设项目。项目建成运营后，将有效提升国企运行效率、优化用户体验，深度挖掘数据潜在价值，为国资监管决策提供科学、精准的有力支撑。</w:t>
      </w:r>
      <w:r/>
    </w:p>
    <w:p>
      <w:pPr>
        <w:pStyle w:val="835"/>
        <w:numPr>
          <w:ilvl w:val="0"/>
          <w:numId w:val="2"/>
        </w:numPr>
        <w:ind w:firstLine="480"/>
        <w:jc w:val="left"/>
        <w:spacing w:line="500" w:lineRule="exact"/>
        <w:rPr>
          <w:rFonts w:hint="eastAsia" w:cs="Arial" w:asciiTheme="minorEastAsia" w:hAnsiTheme="minorEastAsia" w:eastAsiaTheme="minorEastAsia"/>
          <w:sz w:val="24"/>
        </w:rPr>
      </w:pPr>
      <w:r>
        <w:rPr>
          <w:rFonts w:hint="eastAsia" w:cs="Arial" w:asciiTheme="minorEastAsia" w:hAnsiTheme="minorEastAsia" w:eastAsiaTheme="minorEastAsia"/>
          <w:sz w:val="24"/>
        </w:rPr>
        <w:t xml:space="preserve">质量要求：符合相关规定要求。</w:t>
      </w:r>
      <w:r/>
    </w:p>
    <w:p>
      <w:pPr>
        <w:pStyle w:val="835"/>
        <w:numPr>
          <w:ilvl w:val="0"/>
          <w:numId w:val="2"/>
        </w:numPr>
        <w:ind w:firstLine="480"/>
        <w:jc w:val="left"/>
        <w:spacing w:line="500" w:lineRule="exact"/>
        <w:rPr>
          <w:rFonts w:hint="eastAsia" w:cs="Arial" w:asciiTheme="minorEastAsia" w:hAnsiTheme="minorEastAsia" w:eastAsiaTheme="minorEastAsia"/>
          <w:sz w:val="24"/>
        </w:rPr>
      </w:pPr>
      <w:r>
        <w:rPr>
          <w:rFonts w:hint="eastAsia" w:cs="Arial" w:asciiTheme="minorEastAsia" w:hAnsiTheme="minorEastAsia" w:eastAsiaTheme="minorEastAsia"/>
          <w:sz w:val="24"/>
          <w:lang w:val="en-US" w:eastAsia="zh-CN"/>
        </w:rPr>
        <w:t xml:space="preserve">合同履行期限：合同签订后一个月完成系统建设交付采购人正常使用。</w:t>
      </w:r>
      <w:r/>
    </w:p>
    <w:p>
      <w:pPr>
        <w:pStyle w:val="835"/>
        <w:numPr>
          <w:ilvl w:val="0"/>
          <w:numId w:val="2"/>
        </w:numPr>
        <w:ind w:firstLine="480"/>
        <w:jc w:val="left"/>
        <w:spacing w:line="500" w:lineRule="exact"/>
        <w:rPr>
          <w:rFonts w:hint="eastAsia" w:cs="Arial" w:asciiTheme="minorEastAsia" w:hAnsiTheme="minorEastAsia" w:eastAsiaTheme="minorEastAsia"/>
          <w:sz w:val="24"/>
        </w:rPr>
      </w:pPr>
      <w:r>
        <w:rPr>
          <w:rFonts w:hint="eastAsia" w:cs="Arial" w:asciiTheme="minorEastAsia" w:hAnsiTheme="minorEastAsia" w:eastAsiaTheme="minorEastAsia"/>
          <w:sz w:val="24"/>
          <w:lang w:val="en-US" w:eastAsia="zh-CN"/>
        </w:rPr>
        <w:t xml:space="preserve">付款方式：合同签订后付预付合同款的50%，系统建成经采购人验收合格后付至合同款的90%，余款在验收合格满半年后付清。</w:t>
      </w:r>
      <w:r/>
    </w:p>
    <w:p>
      <w:pPr>
        <w:pStyle w:val="835"/>
        <w:ind w:firstLine="482"/>
        <w:jc w:val="left"/>
        <w:spacing w:line="500" w:lineRule="exact"/>
        <w:rPr>
          <w:rFonts w:hint="eastAsia" w:cs="Arial" w:asciiTheme="minorEastAsia" w:hAnsiTheme="minorEastAsia" w:eastAsiaTheme="minorEastAsia"/>
          <w:b/>
          <w:sz w:val="24"/>
        </w:rPr>
      </w:pPr>
      <w:r>
        <w:rPr>
          <w:rFonts w:hint="eastAsia" w:cs="Arial" w:asciiTheme="minorEastAsia" w:hAnsiTheme="minorEastAsia" w:eastAsiaTheme="minorEastAsia"/>
          <w:b/>
          <w:sz w:val="24"/>
        </w:rPr>
        <w:t xml:space="preserve">二、服务工作内容 </w:t>
      </w:r>
      <w:r/>
    </w:p>
    <w:p>
      <w:pPr>
        <w:pStyle w:val="835"/>
        <w:numPr>
          <w:ilvl w:val="0"/>
          <w:numId w:val="0"/>
        </w:numPr>
        <w:ind w:firstLine="480"/>
        <w:jc w:val="left"/>
        <w:spacing w:line="500" w:lineRule="exact"/>
        <w:rPr>
          <w:rFonts w:hint="default" w:cs="Arial" w:asciiTheme="minorEastAsia" w:hAnsiTheme="minorEastAsia" w:eastAsiaTheme="minorEastAsia"/>
          <w:sz w:val="24"/>
          <w:lang w:val="en-US" w:eastAsia="zh-CN"/>
        </w:rPr>
      </w:pPr>
      <w:r>
        <w:rPr>
          <w:rFonts w:hint="eastAsia" w:cs="Arial" w:asciiTheme="minorEastAsia" w:hAnsiTheme="minorEastAsia" w:eastAsiaTheme="minorEastAsia"/>
          <w:sz w:val="24"/>
          <w:lang w:eastAsia="zh-CN"/>
        </w:rPr>
        <w:t xml:space="preserve">（</w:t>
      </w:r>
      <w:r>
        <w:rPr>
          <w:rFonts w:hint="eastAsia" w:cs="Arial" w:asciiTheme="minorEastAsia" w:hAnsiTheme="minorEastAsia" w:eastAsiaTheme="minorEastAsia"/>
          <w:sz w:val="24"/>
          <w:lang w:val="en-US" w:eastAsia="zh-CN"/>
        </w:rPr>
        <w:t xml:space="preserve">一）、建设要求</w:t>
      </w:r>
      <w:r/>
    </w:p>
    <w:p>
      <w:pPr>
        <w:pStyle w:val="835"/>
        <w:numPr>
          <w:ilvl w:val="0"/>
          <w:numId w:val="0"/>
        </w:numPr>
        <w:ind w:firstLine="720"/>
        <w:jc w:val="left"/>
        <w:spacing w:line="500" w:lineRule="exact"/>
        <w:rPr>
          <w:rFonts w:hint="default" w:cs="Arial" w:asciiTheme="minorEastAsia" w:hAnsiTheme="minorEastAsia" w:eastAsiaTheme="minorEastAsia"/>
          <w:sz w:val="24"/>
          <w:lang w:val="en-US" w:eastAsia="zh-CN"/>
        </w:rPr>
      </w:pPr>
      <w:r>
        <w:rPr>
          <w:rFonts w:hint="eastAsia" w:cs="Arial" w:asciiTheme="minorEastAsia" w:hAnsiTheme="minorEastAsia" w:eastAsiaTheme="minorEastAsia"/>
          <w:sz w:val="24"/>
          <w:lang w:val="en-US" w:eastAsia="zh-CN"/>
        </w:rPr>
        <w:t xml:space="preserve">在一期系统的基础上，</w:t>
      </w:r>
      <w:r>
        <w:rPr>
          <w:rFonts w:hint="default" w:cs="Arial" w:asciiTheme="minorEastAsia" w:hAnsiTheme="minorEastAsia" w:eastAsiaTheme="minorEastAsia"/>
          <w:sz w:val="24"/>
          <w:lang w:val="en-US" w:eastAsia="zh-CN"/>
        </w:rPr>
        <w:t xml:space="preserve">通过统一标准化数据接口采集资产云、响水县国资监管云平台中的全口径资产数据，实现统一管理。为实现国有资产的监管、分析、利用等功能提供数据基础。建立数据接口标准规范，确保数据对接的顺畅性和稳定性。</w:t>
      </w:r>
      <w:r/>
    </w:p>
    <w:p>
      <w:pPr>
        <w:pStyle w:val="835"/>
        <w:numPr>
          <w:ilvl w:val="0"/>
          <w:numId w:val="0"/>
        </w:numPr>
        <w:ind w:firstLine="720"/>
        <w:jc w:val="left"/>
        <w:spacing w:line="500" w:lineRule="exact"/>
        <w:rPr>
          <w:rFonts w:hint="default" w:cs="Arial" w:asciiTheme="minorEastAsia" w:hAnsiTheme="minorEastAsia" w:eastAsiaTheme="minorEastAsia"/>
          <w:sz w:val="24"/>
          <w:lang w:val="en-US" w:eastAsia="zh-CN"/>
        </w:rPr>
      </w:pPr>
      <w:r>
        <w:rPr>
          <w:rFonts w:hint="default" w:cs="Arial" w:asciiTheme="minorEastAsia" w:hAnsiTheme="minorEastAsia" w:eastAsiaTheme="minorEastAsia"/>
          <w:sz w:val="24"/>
          <w:lang w:val="en-US" w:eastAsia="zh-CN"/>
        </w:rPr>
        <w:t xml:space="preserve">根据清查套表，实现在线填报、报送、导入导出、打印、复核审核功能。并通过设置多种数据勾稽关系自动检查公式，保障数据填报准确性、提升清查数据质量。建立数据校验规则，对数据进行实时校验，确保数据的准确性和完整性。</w:t>
      </w:r>
      <w:r/>
    </w:p>
    <w:p>
      <w:pPr>
        <w:pStyle w:val="835"/>
        <w:numPr>
          <w:ilvl w:val="0"/>
          <w:numId w:val="0"/>
        </w:numPr>
        <w:ind w:firstLine="720"/>
        <w:jc w:val="left"/>
        <w:spacing w:line="500" w:lineRule="exact"/>
        <w:rPr>
          <w:rFonts w:hint="default" w:cs="Arial" w:asciiTheme="minorEastAsia" w:hAnsiTheme="minorEastAsia" w:eastAsiaTheme="minorEastAsia"/>
          <w:sz w:val="24"/>
          <w:lang w:val="en-US" w:eastAsia="zh-CN"/>
        </w:rPr>
      </w:pPr>
      <w:r>
        <w:rPr>
          <w:rFonts w:hint="default" w:cs="Arial" w:asciiTheme="minorEastAsia" w:hAnsiTheme="minorEastAsia" w:eastAsiaTheme="minorEastAsia"/>
          <w:sz w:val="24"/>
          <w:lang w:val="en-US" w:eastAsia="zh-CN"/>
        </w:rPr>
        <w:t xml:space="preserve">资产盘活是对闲置资产信息做盘活操作的过程。盘活操作要包含对资产信息卡进行处置报废、无偿调拨、对外捐赠、置换、出售、出让、转让、交回等处置功能。平台通过盘活利用表实现问题清单的全过程留痕跟进，问题资产所属单位实时线上接收问题、整改问题、反馈问题，按照"谁主管、谁排查""谁所属、谁盘活"原则，推进单位问题整改销号、闭环管理</w:t>
      </w:r>
      <w:r>
        <w:rPr>
          <w:rFonts w:hint="eastAsia" w:cs="Arial" w:asciiTheme="minorEastAsia" w:hAnsiTheme="minorEastAsia" w:eastAsiaTheme="minorEastAsia"/>
          <w:sz w:val="24"/>
          <w:lang w:val="en-US" w:eastAsia="zh-CN"/>
        </w:rPr>
        <w:t xml:space="preserve">。</w:t>
      </w:r>
      <w:r/>
    </w:p>
    <w:p>
      <w:pPr>
        <w:pStyle w:val="835"/>
        <w:numPr>
          <w:ilvl w:val="0"/>
          <w:numId w:val="0"/>
        </w:numPr>
        <w:ind w:firstLine="720"/>
        <w:jc w:val="left"/>
        <w:spacing w:line="500" w:lineRule="exact"/>
        <w:rPr>
          <w:rFonts w:hint="default" w:cs="Arial" w:asciiTheme="minorEastAsia" w:hAnsiTheme="minorEastAsia" w:eastAsiaTheme="minorEastAsia"/>
          <w:sz w:val="24"/>
          <w:lang w:val="en-US" w:eastAsia="zh-CN"/>
        </w:rPr>
      </w:pPr>
      <w:r>
        <w:rPr>
          <w:rFonts w:hint="default" w:cs="Arial" w:asciiTheme="minorEastAsia" w:hAnsiTheme="minorEastAsia" w:eastAsiaTheme="minorEastAsia"/>
          <w:sz w:val="24"/>
          <w:lang w:val="en-US" w:eastAsia="zh-CN"/>
        </w:rPr>
        <w:t xml:space="preserve">预警核实处理将通过规则计算生成的预警数据以及通过机器学习产生的预警数据进行汇总，利用任务的下达、接收，将预警信息及时在各级财政、国资、农业农村等业务归口部门及监管部门与单位之间进行传递。建立预警处理流程，确保预警信息得到及时处理</w:t>
      </w:r>
      <w:r>
        <w:rPr>
          <w:rFonts w:hint="eastAsia" w:cs="Arial" w:asciiTheme="minorEastAsia" w:hAnsiTheme="minorEastAsia" w:eastAsiaTheme="minorEastAsia"/>
          <w:sz w:val="24"/>
          <w:lang w:val="en-US" w:eastAsia="zh-CN"/>
        </w:rPr>
        <w:t xml:space="preserve">。</w:t>
      </w:r>
      <w:r/>
    </w:p>
    <w:p>
      <w:pPr>
        <w:pStyle w:val="835"/>
        <w:numPr>
          <w:ilvl w:val="0"/>
          <w:numId w:val="0"/>
        </w:numPr>
        <w:ind w:firstLine="720"/>
        <w:jc w:val="left"/>
        <w:spacing w:line="500" w:lineRule="exact"/>
        <w:rPr>
          <w:rFonts w:hint="default" w:cs="Arial" w:asciiTheme="minorEastAsia" w:hAnsiTheme="minorEastAsia" w:eastAsiaTheme="minorEastAsia"/>
          <w:sz w:val="24"/>
          <w:lang w:val="en-US" w:eastAsia="zh-CN"/>
        </w:rPr>
      </w:pPr>
      <w:r>
        <w:rPr>
          <w:rFonts w:hint="default" w:cs="Arial" w:asciiTheme="minorEastAsia" w:hAnsiTheme="minorEastAsia" w:eastAsiaTheme="minorEastAsia"/>
          <w:sz w:val="24"/>
          <w:lang w:val="en-US" w:eastAsia="zh-CN"/>
        </w:rPr>
        <w:t xml:space="preserve">调剂共享平台（公物仓）依附于行政事业单位资产云系统及响水县国资监管云平台，通过卡片库将资产提取到待入仓资产库，再进行调剂、借用、租赁等操作，同时登记财务帐。建立资产入库、出库流程，确保资产调剂的规范性和准确性</w:t>
      </w:r>
      <w:r>
        <w:rPr>
          <w:rFonts w:hint="eastAsia" w:cs="Arial" w:asciiTheme="minorEastAsia" w:hAnsiTheme="minorEastAsia" w:eastAsiaTheme="minorEastAsia"/>
          <w:sz w:val="24"/>
          <w:lang w:val="en-US" w:eastAsia="zh-CN"/>
        </w:rPr>
        <w:t xml:space="preserve">。</w:t>
      </w:r>
      <w:r/>
    </w:p>
    <w:p>
      <w:pPr>
        <w:pStyle w:val="835"/>
        <w:numPr>
          <w:ilvl w:val="0"/>
          <w:numId w:val="0"/>
        </w:numPr>
        <w:ind w:firstLine="240"/>
        <w:jc w:val="left"/>
        <w:spacing w:line="500" w:lineRule="exact"/>
        <w:rPr>
          <w:rFonts w:hint="eastAsia" w:cs="Arial" w:asciiTheme="minorEastAsia" w:hAnsiTheme="minorEastAsia" w:eastAsiaTheme="minorEastAsia"/>
          <w:sz w:val="24"/>
        </w:rPr>
      </w:pPr>
      <w:r>
        <w:rPr>
          <w:rFonts w:hint="eastAsia" w:cs="Arial" w:asciiTheme="minorEastAsia" w:hAnsiTheme="minorEastAsia" w:eastAsiaTheme="minorEastAsia"/>
          <w:sz w:val="24"/>
        </w:rPr>
        <w:t xml:space="preserve">（二）、实施</w:t>
      </w:r>
      <w:r>
        <w:rPr>
          <w:rFonts w:hint="eastAsia" w:cs="Arial" w:asciiTheme="minorEastAsia" w:hAnsiTheme="minorEastAsia" w:eastAsiaTheme="minorEastAsia"/>
          <w:sz w:val="24"/>
          <w:lang w:val="en-US" w:eastAsia="zh-CN"/>
        </w:rPr>
        <w:t xml:space="preserve">工</w:t>
      </w:r>
      <w:r>
        <w:rPr>
          <w:rFonts w:hint="eastAsia" w:cs="Arial" w:asciiTheme="minorEastAsia" w:hAnsiTheme="minorEastAsia" w:eastAsiaTheme="minorEastAsia"/>
          <w:sz w:val="24"/>
        </w:rPr>
        <w:t xml:space="preserve">作要求</w:t>
      </w:r>
      <w:r/>
    </w:p>
    <w:p>
      <w:pPr>
        <w:pStyle w:val="835"/>
        <w:numPr>
          <w:ilvl w:val="0"/>
          <w:numId w:val="0"/>
        </w:numPr>
        <w:ind w:firstLine="720"/>
        <w:jc w:val="left"/>
        <w:spacing w:line="500" w:lineRule="exact"/>
        <w:rPr>
          <w:rFonts w:hint="eastAsia" w:cs="Arial" w:asciiTheme="minorEastAsia" w:hAnsiTheme="minorEastAsia" w:eastAsiaTheme="minorEastAsia"/>
          <w:sz w:val="24"/>
        </w:rPr>
      </w:pPr>
      <w:r>
        <w:rPr>
          <w:rFonts w:hint="eastAsia" w:cs="Arial" w:asciiTheme="minorEastAsia" w:hAnsiTheme="minorEastAsia" w:eastAsiaTheme="minorEastAsia"/>
          <w:sz w:val="24"/>
        </w:rPr>
        <w:t xml:space="preserve">1.供应商服务团队及人员要求项目经理必须具备丰富的项目管理经验，精通及财政部门运作方式，同时具备较强的沟通协调和管理能力，能依据采购人要求提供合理的、高效的服务。</w:t>
      </w:r>
      <w:r/>
    </w:p>
    <w:p>
      <w:pPr>
        <w:pStyle w:val="835"/>
        <w:numPr>
          <w:ilvl w:val="0"/>
          <w:numId w:val="0"/>
        </w:numPr>
        <w:ind w:firstLine="720"/>
        <w:jc w:val="left"/>
        <w:spacing w:line="500" w:lineRule="exact"/>
        <w:rPr>
          <w:rFonts w:hint="eastAsia" w:cs="Arial" w:asciiTheme="minorEastAsia" w:hAnsiTheme="minorEastAsia" w:eastAsiaTheme="minorEastAsia"/>
          <w:sz w:val="24"/>
        </w:rPr>
      </w:pPr>
      <w:r>
        <w:rPr>
          <w:rFonts w:hint="eastAsia" w:cs="Arial" w:asciiTheme="minorEastAsia" w:hAnsiTheme="minorEastAsia" w:eastAsiaTheme="minorEastAsia"/>
          <w:sz w:val="24"/>
        </w:rPr>
        <w:t xml:space="preserve">2.文档要求 </w:t>
      </w:r>
      <w:r/>
    </w:p>
    <w:p>
      <w:pPr>
        <w:pStyle w:val="835"/>
        <w:numPr>
          <w:ilvl w:val="0"/>
          <w:numId w:val="0"/>
        </w:numPr>
        <w:ind w:firstLine="720"/>
        <w:jc w:val="left"/>
        <w:spacing w:line="500" w:lineRule="exact"/>
        <w:rPr>
          <w:rFonts w:hint="eastAsia" w:cs="Arial" w:asciiTheme="minorEastAsia" w:hAnsiTheme="minorEastAsia" w:eastAsiaTheme="minorEastAsia"/>
          <w:sz w:val="24"/>
        </w:rPr>
      </w:pPr>
      <w:r>
        <w:rPr>
          <w:rFonts w:hint="eastAsia" w:cs="Arial" w:asciiTheme="minorEastAsia" w:hAnsiTheme="minorEastAsia" w:eastAsiaTheme="minorEastAsia"/>
          <w:sz w:val="24"/>
        </w:rPr>
        <w:t xml:space="preserve">在项目</w:t>
      </w:r>
      <w:r>
        <w:rPr>
          <w:rFonts w:hint="eastAsia" w:cs="Arial" w:asciiTheme="minorEastAsia" w:hAnsiTheme="minorEastAsia" w:eastAsiaTheme="minorEastAsia"/>
          <w:sz w:val="24"/>
          <w:lang w:val="en-US" w:eastAsia="zh-CN"/>
        </w:rPr>
        <w:t xml:space="preserve">建设</w:t>
      </w:r>
      <w:r>
        <w:rPr>
          <w:rFonts w:hint="eastAsia" w:cs="Arial" w:asciiTheme="minorEastAsia" w:hAnsiTheme="minorEastAsia" w:eastAsiaTheme="minorEastAsia"/>
          <w:sz w:val="24"/>
        </w:rPr>
        <w:t xml:space="preserve">期，竞标人需提供系统运行维护过程中形成的一切文档，包括但不局限于测试用例、测试报告、工作日志、运维日志、系统技术总结等，并定期更新归档提交给采购人。 </w:t>
      </w:r>
      <w:r/>
    </w:p>
    <w:p>
      <w:pPr>
        <w:pStyle w:val="835"/>
        <w:numPr>
          <w:ilvl w:val="0"/>
          <w:numId w:val="0"/>
        </w:numPr>
        <w:ind w:firstLine="720"/>
        <w:jc w:val="left"/>
        <w:spacing w:line="500" w:lineRule="exact"/>
        <w:rPr>
          <w:rFonts w:hint="eastAsia" w:cs="Arial" w:asciiTheme="minorEastAsia" w:hAnsiTheme="minorEastAsia" w:eastAsiaTheme="minorEastAsia"/>
          <w:sz w:val="24"/>
        </w:rPr>
      </w:pPr>
      <w:r>
        <w:rPr>
          <w:rFonts w:hint="eastAsia" w:cs="Arial" w:asciiTheme="minorEastAsia" w:hAnsiTheme="minorEastAsia" w:eastAsiaTheme="minorEastAsia"/>
          <w:sz w:val="24"/>
        </w:rPr>
        <w:t xml:space="preserve">3.</w:t>
      </w:r>
      <w:r>
        <w:rPr>
          <w:rFonts w:hint="eastAsia" w:cs="Arial" w:asciiTheme="minorEastAsia" w:hAnsiTheme="minorEastAsia" w:eastAsiaTheme="minorEastAsia"/>
          <w:sz w:val="24"/>
          <w:lang w:val="en-US" w:eastAsia="zh-CN"/>
        </w:rPr>
        <w:t xml:space="preserve">实施</w:t>
      </w:r>
      <w:r>
        <w:rPr>
          <w:rFonts w:hint="eastAsia" w:cs="Arial" w:asciiTheme="minorEastAsia" w:hAnsiTheme="minorEastAsia" w:eastAsiaTheme="minorEastAsia"/>
          <w:sz w:val="24"/>
        </w:rPr>
        <w:t xml:space="preserve">工作规范要求 </w:t>
      </w:r>
      <w:r/>
    </w:p>
    <w:p>
      <w:pPr>
        <w:pStyle w:val="835"/>
        <w:numPr>
          <w:ilvl w:val="0"/>
          <w:numId w:val="0"/>
        </w:numPr>
        <w:ind w:firstLine="720"/>
        <w:jc w:val="left"/>
        <w:spacing w:line="500" w:lineRule="exact"/>
        <w:rPr>
          <w:rFonts w:hint="eastAsia" w:cs="Arial" w:asciiTheme="minorEastAsia" w:hAnsiTheme="minorEastAsia" w:eastAsiaTheme="minorEastAsia"/>
          <w:sz w:val="24"/>
        </w:rPr>
      </w:pPr>
      <w:r>
        <w:rPr>
          <w:rFonts w:hint="eastAsia" w:cs="Arial" w:asciiTheme="minorEastAsia" w:hAnsiTheme="minorEastAsia" w:eastAsiaTheme="minorEastAsia"/>
          <w:sz w:val="24"/>
          <w:lang w:val="en-US" w:eastAsia="zh-CN"/>
        </w:rPr>
        <w:t xml:space="preserve">该</w:t>
      </w:r>
      <w:r>
        <w:rPr>
          <w:rFonts w:hint="eastAsia" w:cs="Arial" w:asciiTheme="minorEastAsia" w:hAnsiTheme="minorEastAsia" w:eastAsiaTheme="minorEastAsia"/>
          <w:sz w:val="24"/>
        </w:rPr>
        <w:t xml:space="preserve">系统是财政核心业务开展的业务系统，</w:t>
      </w:r>
      <w:r>
        <w:rPr>
          <w:rFonts w:hint="eastAsia" w:cs="Arial" w:asciiTheme="minorEastAsia" w:hAnsiTheme="minorEastAsia" w:eastAsiaTheme="minorEastAsia"/>
          <w:sz w:val="24"/>
          <w:lang w:val="en-US" w:eastAsia="zh-CN"/>
        </w:rPr>
        <w:t xml:space="preserve">实施</w:t>
      </w:r>
      <w:r>
        <w:rPr>
          <w:rFonts w:hint="eastAsia" w:cs="Arial" w:asciiTheme="minorEastAsia" w:hAnsiTheme="minorEastAsia" w:eastAsiaTheme="minorEastAsia"/>
          <w:sz w:val="24"/>
        </w:rPr>
        <w:t xml:space="preserve">工作必须规范，要制定明确合理的</w:t>
      </w:r>
      <w:r>
        <w:rPr>
          <w:rFonts w:hint="eastAsia" w:cs="Arial" w:asciiTheme="minorEastAsia" w:hAnsiTheme="minorEastAsia" w:eastAsiaTheme="minorEastAsia"/>
          <w:sz w:val="24"/>
          <w:lang w:val="en-US" w:eastAsia="zh-CN"/>
        </w:rPr>
        <w:t xml:space="preserve">实施</w:t>
      </w:r>
      <w:r>
        <w:rPr>
          <w:rFonts w:hint="eastAsia" w:cs="Arial" w:asciiTheme="minorEastAsia" w:hAnsiTheme="minorEastAsia" w:eastAsiaTheme="minorEastAsia"/>
          <w:sz w:val="24"/>
        </w:rPr>
        <w:t xml:space="preserve">计划，要有完备的</w:t>
      </w:r>
      <w:r>
        <w:rPr>
          <w:rFonts w:hint="eastAsia" w:cs="Arial" w:asciiTheme="minorEastAsia" w:hAnsiTheme="minorEastAsia" w:eastAsiaTheme="minorEastAsia"/>
          <w:sz w:val="24"/>
          <w:lang w:val="en-US" w:eastAsia="zh-CN"/>
        </w:rPr>
        <w:t xml:space="preserve">实施</w:t>
      </w:r>
      <w:r>
        <w:rPr>
          <w:rFonts w:hint="eastAsia" w:cs="Arial" w:asciiTheme="minorEastAsia" w:hAnsiTheme="minorEastAsia" w:eastAsiaTheme="minorEastAsia"/>
          <w:sz w:val="24"/>
        </w:rPr>
        <w:t xml:space="preserve">档案。</w:t>
      </w:r>
      <w:r/>
    </w:p>
    <w:p>
      <w:pPr>
        <w:pStyle w:val="835"/>
        <w:numPr>
          <w:ilvl w:val="0"/>
          <w:numId w:val="3"/>
        </w:numPr>
        <w:ind w:firstLine="720"/>
        <w:jc w:val="left"/>
        <w:spacing w:line="500" w:lineRule="exact"/>
        <w:rPr>
          <w:rFonts w:hint="eastAsia" w:cs="Arial" w:asciiTheme="minorEastAsia" w:hAnsiTheme="minorEastAsia" w:eastAsiaTheme="minorEastAsia"/>
          <w:sz w:val="24"/>
          <w:lang w:val="en-US" w:eastAsia="zh-CN"/>
        </w:rPr>
      </w:pPr>
      <w:r>
        <w:rPr>
          <w:rFonts w:hint="eastAsia" w:cs="Arial" w:asciiTheme="minorEastAsia" w:hAnsiTheme="minorEastAsia" w:eastAsiaTheme="minorEastAsia"/>
          <w:sz w:val="24"/>
          <w:lang w:val="en-US" w:eastAsia="zh-CN"/>
        </w:rPr>
        <w:t xml:space="preserve">项目团队要求</w:t>
      </w:r>
      <w:r/>
    </w:p>
    <w:p>
      <w:pPr>
        <w:pStyle w:val="835"/>
        <w:numPr>
          <w:ilvl w:val="0"/>
          <w:numId w:val="0"/>
        </w:numPr>
        <w:ind w:firstLine="720"/>
        <w:jc w:val="left"/>
        <w:spacing w:line="500" w:lineRule="exact"/>
        <w:rPr>
          <w:rFonts w:hint="default" w:cs="Arial" w:asciiTheme="minorEastAsia" w:hAnsiTheme="minorEastAsia" w:eastAsiaTheme="minorEastAsia"/>
          <w:sz w:val="24"/>
          <w:lang w:val="en-US" w:eastAsia="zh-CN"/>
        </w:rPr>
      </w:pPr>
      <w:r>
        <w:rPr>
          <w:rFonts w:hint="default" w:cs="Arial" w:asciiTheme="minorEastAsia" w:hAnsiTheme="minorEastAsia" w:eastAsiaTheme="minorEastAsia"/>
          <w:sz w:val="24"/>
          <w:lang w:val="en-US" w:eastAsia="zh-CN"/>
        </w:rPr>
        <w:t xml:space="preserve">投标人需提供至少</w:t>
      </w:r>
      <w:r>
        <w:rPr>
          <w:rFonts w:hint="eastAsia" w:cs="Arial" w:asciiTheme="minorEastAsia" w:hAnsiTheme="minorEastAsia" w:eastAsiaTheme="minorEastAsia"/>
          <w:sz w:val="24"/>
          <w:lang w:val="en-US" w:eastAsia="zh-CN"/>
        </w:rPr>
        <w:t xml:space="preserve">4</w:t>
      </w:r>
      <w:r>
        <w:rPr>
          <w:rFonts w:hint="default" w:cs="Arial" w:asciiTheme="minorEastAsia" w:hAnsiTheme="minorEastAsia" w:eastAsiaTheme="minorEastAsia"/>
          <w:sz w:val="24"/>
          <w:lang w:val="en-US" w:eastAsia="zh-CN"/>
        </w:rPr>
        <w:t xml:space="preserve">人的项目团队，其中驻场服务人员不少于</w:t>
      </w:r>
      <w:r>
        <w:rPr>
          <w:rFonts w:hint="eastAsia" w:cs="Arial" w:asciiTheme="minorEastAsia" w:hAnsiTheme="minorEastAsia" w:eastAsiaTheme="minorEastAsia"/>
          <w:sz w:val="24"/>
          <w:lang w:val="en-US" w:eastAsia="zh-CN"/>
        </w:rPr>
        <w:t xml:space="preserve">2</w:t>
      </w:r>
      <w:r>
        <w:rPr>
          <w:rFonts w:hint="default" w:cs="Arial" w:asciiTheme="minorEastAsia" w:hAnsiTheme="minorEastAsia" w:eastAsiaTheme="minorEastAsia"/>
          <w:sz w:val="24"/>
          <w:lang w:val="en-US" w:eastAsia="zh-CN"/>
        </w:rPr>
        <w:t xml:space="preserve">人。</w:t>
      </w:r>
      <w:r>
        <w:rPr>
          <w:rFonts w:hint="eastAsia" w:cs="Arial" w:asciiTheme="minorEastAsia" w:hAnsiTheme="minorEastAsia" w:eastAsiaTheme="minorEastAsia"/>
          <w:sz w:val="24"/>
          <w:lang w:val="en-US" w:eastAsia="zh-CN"/>
        </w:rPr>
        <w:t xml:space="preserve">项目团队成员具有计算机技术与软件专业技术资格考试中级及以上资格证书，投标时提供证书原件彩色扫描件。</w:t>
      </w:r>
      <w:r/>
    </w:p>
    <w:p>
      <w:pPr>
        <w:pStyle w:val="835"/>
        <w:numPr>
          <w:ilvl w:val="0"/>
          <w:numId w:val="0"/>
        </w:numPr>
        <w:ind w:firstLine="720"/>
        <w:jc w:val="left"/>
        <w:spacing w:line="500" w:lineRule="exact"/>
        <w:rPr>
          <w:rFonts w:hint="default" w:cs="Arial" w:asciiTheme="minorEastAsia" w:hAnsiTheme="minorEastAsia" w:eastAsiaTheme="minorEastAsia"/>
          <w:sz w:val="24"/>
          <w:lang w:val="en-US" w:eastAsia="zh-CN"/>
        </w:rPr>
      </w:pPr>
      <w:r>
        <w:rPr>
          <w:rFonts w:hint="default" w:cs="Arial" w:asciiTheme="minorEastAsia" w:hAnsiTheme="minorEastAsia" w:eastAsiaTheme="minorEastAsia"/>
          <w:sz w:val="24"/>
          <w:lang w:val="en-US" w:eastAsia="zh-CN"/>
        </w:rPr>
        <w:t xml:space="preserve">未经采购人同意，投标人不得更换项目负责人；因特殊原因确需变更人员时，投标人需提前1周以书面形式向采购人申请。项目负责人必须提供7×24小时联系方式，并保证联系渠道畅通。</w:t>
      </w:r>
      <w:r/>
    </w:p>
    <w:p>
      <w:pPr>
        <w:pStyle w:val="835"/>
        <w:ind w:firstLine="482"/>
        <w:jc w:val="left"/>
        <w:spacing w:line="500" w:lineRule="exact"/>
        <w:rPr>
          <w:rFonts w:cs="宋体" w:asciiTheme="minorEastAsia" w:hAnsiTheme="minorEastAsia" w:eastAsiaTheme="minorEastAsia"/>
          <w:sz w:val="24"/>
        </w:rPr>
      </w:pPr>
      <w:r>
        <w:rPr>
          <w:rFonts w:hint="eastAsia" w:cs="宋体" w:asciiTheme="minorEastAsia" w:hAnsiTheme="minorEastAsia" w:eastAsiaTheme="minorEastAsia"/>
          <w:b/>
          <w:bCs/>
          <w:sz w:val="24"/>
          <w:lang w:val="en-US" w:eastAsia="zh-CN"/>
        </w:rPr>
        <w:t xml:space="preserve">三</w:t>
      </w:r>
      <w:r>
        <w:rPr>
          <w:rFonts w:hint="eastAsia" w:cs="宋体" w:asciiTheme="minorEastAsia" w:hAnsiTheme="minorEastAsia" w:eastAsiaTheme="minorEastAsia"/>
          <w:b/>
          <w:bCs/>
          <w:sz w:val="24"/>
        </w:rPr>
        <w:t xml:space="preserve">、保密要求</w:t>
      </w:r>
      <w:r>
        <w:rPr>
          <w:rFonts w:hint="eastAsia" w:cs="宋体" w:asciiTheme="minorEastAsia" w:hAnsiTheme="minorEastAsia" w:eastAsiaTheme="minorEastAsia"/>
          <w:sz w:val="24"/>
        </w:rPr>
        <w:t xml:space="preserve"> </w:t>
      </w:r>
      <w:r/>
    </w:p>
    <w:p>
      <w:pPr>
        <w:pStyle w:val="835"/>
        <w:ind w:firstLine="480"/>
        <w:jc w:val="left"/>
        <w:spacing w:line="5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竞标人承诺对采购人提供的内部资料、数据和信息予以保密。未经采购人书面许可，不许以任何形式向第三方透露。成交竞标人应与</w:t>
      </w:r>
      <w:r>
        <w:rPr>
          <w:rFonts w:hint="eastAsia" w:cs="宋体" w:asciiTheme="minorEastAsia" w:hAnsiTheme="minorEastAsia" w:eastAsiaTheme="minorEastAsia"/>
          <w:sz w:val="24"/>
          <w:lang w:val="en-US" w:eastAsia="zh-CN"/>
        </w:rPr>
        <w:t xml:space="preserve">项目建设</w:t>
      </w:r>
      <w:r>
        <w:rPr>
          <w:rFonts w:hint="eastAsia" w:cs="宋体" w:asciiTheme="minorEastAsia" w:hAnsiTheme="minorEastAsia" w:eastAsiaTheme="minorEastAsia"/>
          <w:sz w:val="24"/>
        </w:rPr>
        <w:t xml:space="preserve">人员签订保密协议，督促服务人员严格遵守保密规定。 </w:t>
      </w:r>
      <w:r/>
    </w:p>
    <w:p>
      <w:pPr>
        <w:pStyle w:val="824"/>
        <w:ind w:firstLine="720"/>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i/>
          <w:color w:val="auto"/>
          <w:highlight w:val="none"/>
          <w:u w:val="single"/>
          <w:shd w:val="clear" w:color="auto" w:fill="auto"/>
        </w:rPr>
        <w:t xml:space="preserve">（四）、本项目</w:t>
      </w:r>
      <w:r>
        <w:rPr>
          <w:rFonts w:hint="eastAsia" w:ascii="宋体" w:hAnsi="宋体" w:eastAsia="宋体" w:cs="宋体"/>
          <w:i/>
          <w:color w:val="auto"/>
          <w:highlight w:val="none"/>
          <w:u w:val="single"/>
          <w:shd w:val="clear" w:color="auto" w:fill="auto"/>
          <w:lang w:val="en-US" w:eastAsia="zh-CN"/>
        </w:rPr>
        <w:t xml:space="preserve">不接受</w:t>
      </w:r>
      <w:r>
        <w:rPr>
          <w:rFonts w:hint="eastAsia" w:ascii="宋体" w:hAnsi="宋体" w:eastAsia="宋体" w:cs="宋体"/>
          <w:i/>
          <w:color w:val="auto"/>
          <w:highlight w:val="none"/>
          <w:u w:val="single"/>
          <w:shd w:val="clear" w:color="auto" w:fill="auto"/>
        </w:rPr>
        <w:t xml:space="preserve">进口产品参加采购活动</w:t>
      </w:r>
      <w:r>
        <w:rPr>
          <w:rFonts w:hint="eastAsia" w:ascii="宋体" w:hAnsi="宋体" w:eastAsia="宋体" w:cs="宋体"/>
          <w:i/>
          <w:color w:val="auto"/>
          <w:highlight w:val="none"/>
          <w:u w:val="single"/>
          <w:shd w:val="clear" w:color="auto" w:fill="auto"/>
          <w:lang w:eastAsia="zh-CN"/>
        </w:rPr>
        <w:t xml:space="preserve">。</w:t>
      </w:r>
      <w:r>
        <w:rPr>
          <w:rFonts w:hint="eastAsia" w:ascii="宋体" w:hAnsi="宋体" w:eastAsia="宋体" w:cs="宋体"/>
          <w:color w:val="auto"/>
          <w:highlight w:val="none"/>
          <w:shd w:val="clear" w:color="auto" w:fill="auto"/>
        </w:rPr>
        <w:t xml:space="preserve"> </w:t>
      </w:r>
      <w:r/>
    </w:p>
    <w:p>
      <w:pPr>
        <w:pStyle w:val="824"/>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824"/>
        <w:ind w:firstLine="480"/>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24"/>
        <w:ind w:firstLine="602"/>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24"/>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24"/>
        <w:jc w:val="both"/>
        <w:spacing w:beforeAutospacing="0" w:afterAutospacing="0"/>
        <w:rPr>
          <w:color w:val="auto"/>
          <w:highlight w:val="none"/>
          <w:shd w:val="clear" w:color="auto" w:fill="auto"/>
        </w:rPr>
      </w:pPr>
      <w:r>
        <w:rPr>
          <w:color w:val="auto"/>
          <w:highlight w:val="none"/>
          <w:shd w:val="clear" w:color="auto" w:fill="auto"/>
        </w:rPr>
      </w:r>
      <w:r/>
    </w:p>
    <w:p>
      <w:pPr>
        <w:pStyle w:val="824"/>
        <w:jc w:val="both"/>
        <w:spacing w:beforeAutospacing="0" w:afterAutospacing="0"/>
        <w:rPr>
          <w:color w:val="auto"/>
          <w:highlight w:val="none"/>
          <w:shd w:val="clear" w:color="auto" w:fill="auto"/>
        </w:rPr>
      </w:pPr>
      <w:r>
        <w:rPr>
          <w:color w:val="auto"/>
          <w:highlight w:val="none"/>
          <w:shd w:val="clear" w:color="auto" w:fill="auto"/>
        </w:rPr>
      </w:r>
      <w:r/>
    </w:p>
    <w:p>
      <w:pPr>
        <w:pStyle w:val="824"/>
        <w:jc w:val="both"/>
        <w:spacing w:beforeAutospacing="0" w:afterAutospacing="0"/>
        <w:rPr>
          <w:color w:val="auto"/>
          <w:highlight w:val="none"/>
          <w:shd w:val="clear" w:color="auto" w:fill="auto"/>
        </w:rPr>
      </w:pPr>
      <w:r>
        <w:rPr>
          <w:color w:val="auto"/>
          <w:highlight w:val="none"/>
          <w:shd w:val="clear" w:color="auto" w:fill="auto"/>
        </w:rPr>
      </w:r>
      <w:r/>
    </w:p>
    <w:p>
      <w:pPr>
        <w:pStyle w:val="824"/>
        <w:jc w:val="both"/>
        <w:spacing w:beforeAutospacing="0" w:afterAutospacing="0"/>
        <w:rPr>
          <w:color w:val="auto"/>
          <w:highlight w:val="none"/>
          <w:shd w:val="clear" w:color="auto" w:fill="auto"/>
        </w:rPr>
      </w:pPr>
      <w:r>
        <w:rPr>
          <w:color w:val="auto"/>
          <w:highlight w:val="none"/>
          <w:shd w:val="clear" w:color="auto" w:fill="auto"/>
        </w:rPr>
      </w:r>
      <w:r/>
    </w:p>
    <w:p>
      <w:pPr>
        <w:pStyle w:val="824"/>
        <w:jc w:val="both"/>
        <w:spacing w:beforeAutospacing="0" w:afterAutospacing="0"/>
        <w:rPr>
          <w:color w:val="auto"/>
          <w:highlight w:val="none"/>
          <w:shd w:val="clear" w:color="auto" w:fill="auto"/>
        </w:rPr>
      </w:pPr>
      <w:r>
        <w:rPr>
          <w:color w:val="auto"/>
          <w:highlight w:val="none"/>
          <w:shd w:val="clear" w:color="auto" w:fill="auto"/>
        </w:rPr>
      </w:r>
      <w:r/>
    </w:p>
    <w:p>
      <w:pPr>
        <w:pStyle w:val="824"/>
        <w:jc w:val="both"/>
        <w:spacing w:beforeAutospacing="0" w:afterAutospacing="0"/>
        <w:rPr>
          <w:color w:val="auto"/>
          <w:highlight w:val="none"/>
          <w:shd w:val="clear" w:color="auto" w:fill="auto"/>
        </w:rPr>
      </w:pPr>
      <w:r>
        <w:rPr>
          <w:color w:val="auto"/>
          <w:highlight w:val="none"/>
          <w:shd w:val="clear" w:color="auto" w:fill="auto"/>
        </w:rPr>
      </w:r>
      <w:r/>
    </w:p>
    <w:p>
      <w:pPr>
        <w:pStyle w:val="824"/>
        <w:jc w:val="both"/>
        <w:spacing w:beforeAutospacing="0" w:afterAutospacing="0"/>
        <w:rPr>
          <w:color w:val="auto"/>
          <w:highlight w:val="none"/>
          <w:shd w:val="clear" w:color="auto" w:fill="auto"/>
        </w:rPr>
      </w:pPr>
      <w:r>
        <w:rPr>
          <w:color w:val="auto"/>
          <w:highlight w:val="none"/>
          <w:shd w:val="clear" w:color="auto" w:fill="auto"/>
        </w:rPr>
      </w:r>
      <w:r/>
    </w:p>
    <w:p>
      <w:pPr>
        <w:pStyle w:val="824"/>
        <w:jc w:val="both"/>
        <w:spacing w:beforeAutospacing="0" w:afterAutospacing="0"/>
        <w:rPr>
          <w:color w:val="auto"/>
          <w:highlight w:val="none"/>
          <w:shd w:val="clear" w:color="auto" w:fill="auto"/>
        </w:rPr>
      </w:pPr>
      <w:r>
        <w:rPr>
          <w:color w:val="auto"/>
          <w:highlight w:val="none"/>
          <w:shd w:val="clear" w:color="auto" w:fill="auto"/>
        </w:rPr>
      </w:r>
      <w:r/>
    </w:p>
    <w:p>
      <w:pPr>
        <w:pStyle w:val="824"/>
        <w:jc w:val="both"/>
        <w:spacing w:beforeAutospacing="0" w:afterAutospacing="0"/>
        <w:rPr>
          <w:color w:val="auto"/>
          <w:highlight w:val="none"/>
          <w:shd w:val="clear" w:color="auto" w:fill="auto"/>
        </w:rPr>
      </w:pPr>
      <w:r>
        <w:rPr>
          <w:color w:val="auto"/>
          <w:highlight w:val="none"/>
          <w:shd w:val="clear" w:color="auto" w:fill="auto"/>
        </w:rPr>
      </w:r>
      <w:r/>
    </w:p>
    <w:p>
      <w:pPr>
        <w:pStyle w:val="824"/>
        <w:jc w:val="both"/>
        <w:spacing w:beforeAutospacing="0" w:afterAutospacing="0"/>
        <w:rPr>
          <w:color w:val="auto"/>
          <w:highlight w:val="none"/>
          <w:shd w:val="clear" w:color="auto" w:fill="auto"/>
        </w:rPr>
      </w:pPr>
      <w:r>
        <w:rPr>
          <w:color w:val="auto"/>
          <w:highlight w:val="none"/>
          <w:shd w:val="clear" w:color="auto" w:fill="auto"/>
        </w:rPr>
      </w:r>
      <w:r/>
    </w:p>
    <w:p>
      <w:pPr>
        <w:pStyle w:val="824"/>
        <w:jc w:val="both"/>
        <w:spacing w:beforeAutospacing="0" w:afterAutospacing="0"/>
        <w:rPr>
          <w:color w:val="auto"/>
          <w:highlight w:val="none"/>
          <w:shd w:val="clear" w:color="auto" w:fill="auto"/>
        </w:rPr>
      </w:pPr>
      <w:r>
        <w:rPr>
          <w:color w:val="auto"/>
          <w:highlight w:val="none"/>
          <w:shd w:val="clear" w:color="auto" w:fill="auto"/>
        </w:rPr>
      </w:r>
      <w:r/>
    </w:p>
    <w:p>
      <w:pPr>
        <w:pStyle w:val="824"/>
        <w:jc w:val="both"/>
        <w:spacing w:beforeAutospacing="0" w:afterAutospacing="0"/>
        <w:rPr>
          <w:color w:val="auto"/>
          <w:highlight w:val="none"/>
          <w:shd w:val="clear" w:color="auto" w:fill="auto"/>
        </w:rPr>
      </w:pPr>
      <w:r>
        <w:rPr>
          <w:color w:val="auto"/>
          <w:highlight w:val="none"/>
          <w:shd w:val="clear" w:color="auto" w:fill="auto"/>
        </w:rPr>
      </w:r>
      <w:r/>
    </w:p>
    <w:p>
      <w:pPr>
        <w:pStyle w:val="824"/>
        <w:jc w:val="both"/>
        <w:spacing w:beforeAutospacing="0" w:afterAutospacing="0"/>
        <w:rPr>
          <w:color w:val="auto"/>
          <w:highlight w:val="none"/>
          <w:shd w:val="clear" w:color="auto" w:fill="auto"/>
        </w:rPr>
      </w:pPr>
      <w:r>
        <w:rPr>
          <w:color w:val="auto"/>
          <w:highlight w:val="none"/>
          <w:shd w:val="clear" w:color="auto" w:fill="auto"/>
        </w:rPr>
      </w:r>
      <w:r/>
    </w:p>
    <w:p>
      <w:pPr>
        <w:pStyle w:val="824"/>
        <w:jc w:val="both"/>
        <w:spacing w:beforeAutospacing="0" w:afterAutospacing="0"/>
        <w:rPr>
          <w:color w:val="auto"/>
          <w:highlight w:val="none"/>
          <w:shd w:val="clear" w:color="auto" w:fill="auto"/>
        </w:rPr>
      </w:pPr>
      <w:r>
        <w:rPr>
          <w:color w:val="auto"/>
          <w:highlight w:val="none"/>
          <w:shd w:val="clear" w:color="auto" w:fill="auto"/>
        </w:rPr>
      </w:r>
      <w:r/>
    </w:p>
    <w:p>
      <w:pPr>
        <w:pStyle w:val="824"/>
        <w:jc w:val="both"/>
        <w:spacing w:beforeAutospacing="0" w:afterAutospacing="0"/>
        <w:rPr>
          <w:color w:val="auto"/>
          <w:highlight w:val="none"/>
          <w:shd w:val="clear" w:color="auto" w:fill="auto"/>
        </w:rPr>
      </w:pPr>
      <w:r>
        <w:rPr>
          <w:color w:val="auto"/>
          <w:highlight w:val="none"/>
          <w:shd w:val="clear" w:color="auto" w:fill="auto"/>
        </w:rPr>
      </w:r>
      <w:r/>
    </w:p>
    <w:p>
      <w:pPr>
        <w:pStyle w:val="824"/>
        <w:jc w:val="both"/>
        <w:spacing w:beforeAutospacing="0" w:afterAutospacing="0"/>
        <w:rPr>
          <w:color w:val="auto"/>
          <w:highlight w:val="none"/>
          <w:shd w:val="clear" w:color="auto" w:fill="auto"/>
        </w:rPr>
      </w:pPr>
      <w:r>
        <w:rPr>
          <w:color w:val="auto"/>
          <w:highlight w:val="none"/>
          <w:shd w:val="clear" w:color="auto" w:fill="auto"/>
        </w:rPr>
      </w:r>
      <w:r/>
    </w:p>
    <w:p>
      <w:pPr>
        <w:pStyle w:val="824"/>
        <w:jc w:val="both"/>
        <w:spacing w:beforeAutospacing="0" w:afterAutospacing="0"/>
        <w:rPr>
          <w:color w:val="auto"/>
          <w:highlight w:val="none"/>
          <w:shd w:val="clear" w:color="auto" w:fill="auto"/>
        </w:rPr>
      </w:pPr>
      <w:r>
        <w:rPr>
          <w:color w:val="auto"/>
          <w:highlight w:val="none"/>
          <w:shd w:val="clear" w:color="auto" w:fill="auto"/>
        </w:rPr>
      </w:r>
      <w:r/>
    </w:p>
    <w:p>
      <w:pPr>
        <w:pStyle w:val="824"/>
        <w:jc w:val="both"/>
        <w:spacing w:beforeAutospacing="0" w:afterAutospacing="0"/>
        <w:rPr>
          <w:color w:val="auto"/>
          <w:highlight w:val="none"/>
          <w:shd w:val="clear" w:color="auto" w:fill="auto"/>
        </w:rPr>
      </w:pPr>
      <w:r>
        <w:rPr>
          <w:color w:val="auto"/>
          <w:highlight w:val="none"/>
          <w:shd w:val="clear" w:color="auto" w:fill="auto"/>
        </w:rPr>
      </w:r>
      <w:r/>
    </w:p>
    <w:p>
      <w:pPr>
        <w:pStyle w:val="824"/>
        <w:jc w:val="both"/>
        <w:spacing w:beforeAutospacing="0" w:afterAutospacing="0"/>
        <w:rPr>
          <w:color w:val="auto"/>
          <w:highlight w:val="none"/>
          <w:shd w:val="clear" w:color="auto" w:fill="auto"/>
        </w:rPr>
      </w:pPr>
      <w:r>
        <w:rPr>
          <w:color w:val="auto"/>
          <w:highlight w:val="none"/>
          <w:shd w:val="clear" w:color="auto" w:fill="auto"/>
        </w:rPr>
      </w:r>
      <w:r/>
    </w:p>
    <w:p>
      <w:pPr>
        <w:pStyle w:val="824"/>
        <w:jc w:val="both"/>
        <w:spacing w:beforeAutospacing="0" w:afterAutospacing="0"/>
        <w:rPr>
          <w:color w:val="auto"/>
          <w:highlight w:val="none"/>
          <w:shd w:val="clear" w:color="auto" w:fill="auto"/>
        </w:rPr>
      </w:pPr>
      <w:r>
        <w:rPr>
          <w:color w:val="auto"/>
          <w:highlight w:val="none"/>
          <w:shd w:val="clear" w:color="auto" w:fill="auto"/>
        </w:rPr>
      </w:r>
      <w:r/>
    </w:p>
    <w:p>
      <w:pPr>
        <w:pStyle w:val="824"/>
        <w:jc w:val="both"/>
        <w:spacing w:beforeAutospacing="0" w:afterAutospacing="0"/>
        <w:rPr>
          <w:color w:val="auto"/>
          <w:highlight w:val="none"/>
          <w:shd w:val="clear" w:color="auto" w:fill="auto"/>
        </w:rPr>
      </w:pPr>
      <w:r>
        <w:rPr>
          <w:color w:val="auto"/>
          <w:highlight w:val="none"/>
          <w:shd w:val="clear" w:color="auto" w:fill="auto"/>
        </w:rPr>
      </w:r>
      <w:r/>
    </w:p>
    <w:p>
      <w:pPr>
        <w:pStyle w:val="824"/>
        <w:jc w:val="both"/>
        <w:spacing w:beforeAutospacing="0" w:afterAutospacing="0"/>
        <w:rPr>
          <w:color w:val="auto"/>
          <w:highlight w:val="none"/>
          <w:shd w:val="clear" w:color="auto" w:fill="auto"/>
        </w:rPr>
      </w:pPr>
      <w:r>
        <w:rPr>
          <w:color w:val="auto"/>
          <w:highlight w:val="none"/>
          <w:shd w:val="clear" w:color="auto" w:fill="auto"/>
        </w:rPr>
      </w:r>
      <w:r/>
    </w:p>
    <w:p>
      <w:pPr>
        <w:pStyle w:val="824"/>
        <w:jc w:val="both"/>
        <w:spacing w:beforeAutospacing="0" w:afterAutospacing="0"/>
        <w:rPr>
          <w:color w:val="auto"/>
          <w:highlight w:val="none"/>
          <w:shd w:val="clear" w:color="auto" w:fill="auto"/>
        </w:rPr>
      </w:pPr>
      <w:r>
        <w:rPr>
          <w:color w:val="auto"/>
          <w:highlight w:val="none"/>
          <w:shd w:val="clear" w:color="auto" w:fill="auto"/>
        </w:rPr>
      </w:r>
      <w:r/>
    </w:p>
    <w:p>
      <w:pPr>
        <w:pStyle w:val="824"/>
        <w:jc w:val="both"/>
        <w:spacing w:beforeAutospacing="0" w:afterAutospacing="0"/>
        <w:rPr>
          <w:color w:val="auto"/>
          <w:highlight w:val="none"/>
        </w:rPr>
      </w:pPr>
      <w:r>
        <w:rPr>
          <w:color w:val="auto"/>
          <w:highlight w:val="none"/>
          <w:shd w:val="clear" w:color="auto" w:fill="auto"/>
        </w:rPr>
      </w:r>
      <w:r>
        <w:rPr>
          <w:color w:val="auto"/>
          <w:highlight w:val="none"/>
          <w:shd w:val="clear" w:color="auto" w:fill="auto"/>
        </w:rPr>
      </w:r>
      <w:r/>
    </w:p>
    <w:p>
      <w:pPr>
        <w:pStyle w:val="824"/>
        <w:jc w:val="both"/>
        <w:spacing w:beforeAutospacing="0" w:afterAutospacing="0"/>
        <w:rPr>
          <w:color w:val="auto"/>
          <w:highlight w:val="none"/>
          <w:shd w:val="clear" w:color="auto" w:fill="auto"/>
        </w:rPr>
      </w:pPr>
      <w:r>
        <w:rPr>
          <w:color w:val="auto"/>
          <w:highlight w:val="none"/>
          <w:shd w:val="clear" w:color="auto" w:fill="auto"/>
        </w:rPr>
      </w:r>
      <w:r/>
    </w:p>
    <w:p>
      <w:pPr>
        <w:pStyle w:val="824"/>
        <w:jc w:val="both"/>
        <w:spacing w:beforeAutospacing="0" w:afterAutospacing="0"/>
        <w:rPr>
          <w:color w:val="auto"/>
          <w:highlight w:val="none"/>
          <w:shd w:val="clear" w:color="auto" w:fill="auto"/>
        </w:rPr>
      </w:pPr>
      <w:r>
        <w:rPr>
          <w:color w:val="auto"/>
          <w:highlight w:val="none"/>
          <w:shd w:val="clear" w:color="auto" w:fill="auto"/>
        </w:rPr>
      </w:r>
      <w:r/>
    </w:p>
    <w:p>
      <w:pPr>
        <w:pStyle w:val="824"/>
        <w:jc w:val="both"/>
        <w:spacing w:beforeAutospacing="0" w:afterAutospacing="0"/>
        <w:rPr>
          <w:color w:val="auto"/>
          <w:highlight w:val="none"/>
          <w:shd w:val="clear" w:color="auto" w:fill="auto"/>
        </w:rPr>
      </w:pPr>
      <w:r>
        <w:rPr>
          <w:color w:val="auto"/>
          <w:highlight w:val="none"/>
          <w:shd w:val="clear" w:color="auto" w:fill="auto"/>
        </w:rPr>
      </w:r>
      <w:r/>
    </w:p>
    <w:p>
      <w:pPr>
        <w:pStyle w:val="824"/>
        <w:jc w:val="both"/>
        <w:spacing w:beforeAutospacing="0" w:afterAutospacing="0"/>
        <w:rPr>
          <w:color w:val="auto"/>
          <w:highlight w:val="none"/>
          <w:shd w:val="clear" w:color="auto" w:fill="auto"/>
        </w:rPr>
      </w:pPr>
      <w:r>
        <w:rPr>
          <w:color w:val="auto"/>
          <w:highlight w:val="none"/>
          <w:shd w:val="clear" w:color="auto" w:fill="auto"/>
        </w:rPr>
      </w:r>
      <w:r/>
    </w:p>
    <w:p>
      <w:pPr>
        <w:pStyle w:val="824"/>
        <w:jc w:val="both"/>
        <w:spacing w:beforeAutospacing="0" w:afterAutospacing="0"/>
        <w:rPr>
          <w:color w:val="auto"/>
          <w:highlight w:val="none"/>
          <w:shd w:val="clear" w:color="auto" w:fill="auto"/>
        </w:rPr>
      </w:pPr>
      <w:r>
        <w:rPr>
          <w:color w:val="auto"/>
          <w:highlight w:val="none"/>
          <w:shd w:val="clear" w:color="auto" w:fill="auto"/>
        </w:rPr>
      </w:r>
      <w:r/>
    </w:p>
    <w:p>
      <w:pPr>
        <w:pStyle w:val="824"/>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24"/>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24"/>
        <w:ind w:firstLine="1760"/>
        <w:jc w:val="both"/>
        <w:spacing w:beforeAutospacing="0" w:afterAutospacing="0"/>
        <w:rPr>
          <w:color w:val="auto"/>
          <w:highlight w:val="none"/>
          <w:shd w:val="clear" w:color="auto" w:fill="auto"/>
        </w:rPr>
      </w:pPr>
      <w:r/>
      <w:bookmarkStart w:id="154" w:name="_Toc120614281"/>
      <w:r>
        <w:rPr>
          <w:rFonts w:hint="eastAsia" w:ascii="黑体" w:hAnsi="宋体" w:eastAsia="黑体" w:cs="黑体"/>
          <w:color w:val="auto"/>
          <w:sz w:val="44"/>
          <w:szCs w:val="44"/>
          <w:highlight w:val="none"/>
          <w:shd w:val="clear" w:color="auto" w:fill="auto"/>
        </w:rPr>
        <w:t xml:space="preserve">第五章  响应文件格式 </w:t>
      </w:r>
      <w:r/>
    </w:p>
    <w:p>
      <w:pPr>
        <w:pStyle w:val="824"/>
        <w:jc w:val="center"/>
        <w:spacing w:beforeAutospacing="0" w:afterAutospacing="0"/>
        <w:rPr>
          <w:rFonts w:hint="eastAsia" w:ascii="宋体" w:hAnsi="宋体" w:eastAsia="宋体" w:cs="宋体"/>
          <w:b/>
          <w:color w:val="auto"/>
          <w:sz w:val="72"/>
          <w:szCs w:val="72"/>
          <w:highlight w:val="none"/>
          <w:shd w:val="clear" w:color="auto" w:fill="auto"/>
        </w:rPr>
      </w:pPr>
      <w:r/>
      <w:bookmarkStart w:id="155" w:name="_Toc49090576"/>
      <w:r/>
      <w:bookmarkEnd w:id="155"/>
      <w:r/>
      <w:bookmarkStart w:id="156" w:name="_Toc120614282"/>
      <w:r/>
      <w:bookmarkEnd w:id="156"/>
      <w:r/>
      <w:bookmarkStart w:id="157" w:name="_Toc26554094"/>
      <w:r/>
      <w:bookmarkStart w:id="158" w:name="_Hlt26955039"/>
      <w:r/>
      <w:bookmarkStart w:id="159" w:name="_Hlt26671244"/>
      <w:r/>
      <w:r/>
    </w:p>
    <w:p>
      <w:pPr>
        <w:pStyle w:val="824"/>
        <w:jc w:val="center"/>
        <w:spacing w:beforeAutospacing="0" w:afterAutospacing="0"/>
        <w:rPr>
          <w:rFonts w:hint="eastAsia" w:ascii="宋体" w:hAnsi="宋体" w:eastAsia="宋体" w:cs="宋体"/>
          <w:b/>
          <w:color w:val="auto"/>
          <w:sz w:val="72"/>
          <w:szCs w:val="72"/>
          <w:highlight w:val="none"/>
          <w:shd w:val="clear" w:color="auto" w:fill="auto"/>
        </w:rPr>
      </w:pPr>
      <w:r>
        <w:rPr>
          <w:rFonts w:hint="eastAsia" w:ascii="宋体" w:hAnsi="宋体" w:eastAsia="宋体" w:cs="宋体"/>
          <w:b/>
          <w:color w:val="auto"/>
          <w:sz w:val="72"/>
          <w:szCs w:val="72"/>
          <w:highlight w:val="none"/>
          <w:shd w:val="clear" w:color="auto" w:fill="auto"/>
        </w:rPr>
      </w:r>
      <w:r/>
    </w:p>
    <w:p>
      <w:pPr>
        <w:pStyle w:val="824"/>
        <w:jc w:val="center"/>
        <w:spacing w:beforeAutospacing="0" w:afterAutospacing="0"/>
        <w:rPr>
          <w:color w:val="auto"/>
          <w:highlight w:val="none"/>
          <w:shd w:val="clear" w:color="auto" w:fill="auto"/>
        </w:rPr>
      </w:pPr>
      <w:r>
        <w:rPr>
          <w:rFonts w:hint="eastAsia" w:ascii="宋体" w:hAnsi="宋体" w:eastAsia="宋体" w:cs="宋体"/>
          <w:b/>
          <w:color w:val="auto"/>
          <w:sz w:val="72"/>
          <w:szCs w:val="72"/>
          <w:highlight w:val="none"/>
          <w:shd w:val="clear" w:color="auto" w:fill="auto"/>
        </w:rPr>
        <w:t xml:space="preserve">响  应  文  件</w:t>
      </w:r>
      <w:r/>
    </w:p>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824"/>
        <w:ind w:firstLine="1084"/>
        <w:jc w:val="both"/>
        <w:spacing w:beforeAutospacing="0" w:afterAutospacing="0"/>
        <w:rPr>
          <w:color w:val="auto"/>
          <w:highlight w:val="none"/>
          <w:shd w:val="clear" w:color="auto" w:fill="auto"/>
        </w:rPr>
      </w:pPr>
      <w:r>
        <w:rPr>
          <w:rFonts w:hint="eastAsia" w:ascii="宋体" w:hAnsi="宋体" w:eastAsia="宋体" w:cs="宋体"/>
          <w:b/>
          <w:color w:val="auto"/>
          <w:sz w:val="36"/>
          <w:szCs w:val="36"/>
          <w:highlight w:val="none"/>
          <w:shd w:val="clear" w:color="auto" w:fill="auto"/>
        </w:rPr>
        <w:t xml:space="preserve">项 目 名 称：</w:t>
      </w:r>
      <w:r>
        <w:rPr>
          <w:rFonts w:hint="eastAsia" w:ascii="宋体" w:hAnsi="宋体" w:eastAsia="宋体" w:cs="宋体"/>
          <w:b/>
          <w:color w:val="auto"/>
          <w:sz w:val="36"/>
          <w:szCs w:val="36"/>
          <w:highlight w:val="none"/>
          <w:u w:val="single"/>
          <w:shd w:val="clear" w:color="auto" w:fill="auto"/>
        </w:rPr>
        <w:t xml:space="preserve">            </w:t>
      </w:r>
      <w:r/>
    </w:p>
    <w:p>
      <w:pPr>
        <w:pStyle w:val="824"/>
        <w:ind w:firstLine="1084"/>
        <w:jc w:val="both"/>
        <w:spacing w:beforeAutospacing="0" w:afterAutospacing="0"/>
        <w:rPr>
          <w:color w:val="auto"/>
          <w:highlight w:val="none"/>
          <w:shd w:val="clear" w:color="auto" w:fill="auto"/>
        </w:rPr>
      </w:pPr>
      <w:r>
        <w:rPr>
          <w:rFonts w:hint="eastAsia" w:ascii="宋体" w:hAnsi="宋体" w:eastAsia="宋体" w:cs="宋体"/>
          <w:b/>
          <w:color w:val="auto"/>
          <w:sz w:val="36"/>
          <w:szCs w:val="36"/>
          <w:highlight w:val="none"/>
          <w:shd w:val="clear" w:color="auto" w:fill="auto"/>
        </w:rPr>
        <w:t xml:space="preserve">采 购 编 号：</w:t>
      </w:r>
      <w:r>
        <w:rPr>
          <w:rFonts w:hint="eastAsia" w:ascii="宋体" w:hAnsi="宋体" w:eastAsia="宋体" w:cs="宋体"/>
          <w:b/>
          <w:color w:val="auto"/>
          <w:sz w:val="36"/>
          <w:szCs w:val="36"/>
          <w:highlight w:val="none"/>
          <w:u w:val="single"/>
          <w:shd w:val="clear" w:color="auto" w:fill="auto"/>
        </w:rPr>
        <w:t xml:space="preserve">            </w:t>
      </w:r>
      <w:r/>
    </w:p>
    <w:p>
      <w:pPr>
        <w:pStyle w:val="824"/>
        <w:jc w:val="both"/>
        <w:spacing w:beforeAutospacing="0" w:afterAutospacing="0"/>
        <w:rPr>
          <w:color w:val="auto"/>
          <w:highlight w:val="none"/>
          <w:shd w:val="clear" w:color="auto" w:fill="auto"/>
        </w:rPr>
      </w:pPr>
      <w:r>
        <w:rPr>
          <w:rFonts w:hint="eastAsia" w:ascii="宋体" w:hAnsi="宋体" w:eastAsia="宋体" w:cs="宋体"/>
          <w:b/>
          <w:color w:val="auto"/>
          <w:sz w:val="36"/>
          <w:szCs w:val="36"/>
          <w:highlight w:val="none"/>
          <w:shd w:val="clear" w:color="auto" w:fill="auto"/>
        </w:rPr>
        <w:t xml:space="preserve">   供应商名称 ：</w:t>
      </w:r>
      <w:r>
        <w:rPr>
          <w:rFonts w:hint="eastAsia" w:ascii="宋体" w:hAnsi="宋体" w:eastAsia="宋体" w:cs="宋体"/>
          <w:b/>
          <w:color w:val="auto"/>
          <w:sz w:val="36"/>
          <w:szCs w:val="36"/>
          <w:highlight w:val="none"/>
          <w:u w:val="single"/>
          <w:shd w:val="clear" w:color="auto" w:fill="auto"/>
        </w:rPr>
        <w:t xml:space="preserve">（加盖CA电子公章）</w:t>
      </w:r>
      <w:r/>
    </w:p>
    <w:p>
      <w:pPr>
        <w:pStyle w:val="824"/>
        <w:jc w:val="both"/>
        <w:spacing w:beforeAutospacing="0" w:afterAutospacing="0"/>
        <w:rPr>
          <w:color w:val="auto"/>
          <w:highlight w:val="none"/>
          <w:shd w:val="clear" w:color="auto" w:fill="auto"/>
        </w:rPr>
      </w:pPr>
      <w:r>
        <w:rPr>
          <w:rFonts w:hint="eastAsia" w:ascii="宋体" w:hAnsi="宋体" w:eastAsia="宋体" w:cs="宋体"/>
          <w:b/>
          <w:color w:val="auto"/>
          <w:sz w:val="36"/>
          <w:szCs w:val="36"/>
          <w:highlight w:val="none"/>
          <w:shd w:val="clear" w:color="auto" w:fill="auto"/>
        </w:rPr>
        <w:t xml:space="preserve">   日   期 ：</w:t>
      </w:r>
      <w:r>
        <w:rPr>
          <w:rFonts w:hint="eastAsia" w:ascii="宋体" w:hAnsi="宋体" w:eastAsia="宋体" w:cs="宋体"/>
          <w:b/>
          <w:color w:val="auto"/>
          <w:sz w:val="36"/>
          <w:szCs w:val="36"/>
          <w:highlight w:val="none"/>
          <w:u w:val="single"/>
          <w:shd w:val="clear" w:color="auto" w:fill="auto"/>
        </w:rPr>
        <w:t xml:space="preserve">              </w:t>
      </w:r>
      <w:r/>
    </w:p>
    <w:p>
      <w:pPr>
        <w:pStyle w:val="824"/>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24"/>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24"/>
        <w:jc w:val="center"/>
        <w:spacing w:beforeAutospacing="0" w:afterAutospacing="0" w:line="0" w:lineRule="atLeast"/>
        <w:rPr>
          <w:rFonts w:ascii="宋体" w:hAnsi="宋体" w:eastAsia="宋体" w:cs="宋体"/>
          <w:b/>
          <w:color w:val="auto"/>
          <w:sz w:val="36"/>
          <w:szCs w:val="36"/>
          <w:highlight w:val="none"/>
          <w:u w:val="single"/>
          <w:shd w:val="clear" w:color="auto" w:fill="auto"/>
        </w:rPr>
      </w:pPr>
      <w:r>
        <w:rPr>
          <w:rFonts w:ascii="宋体" w:hAnsi="宋体" w:eastAsia="宋体" w:cs="宋体"/>
          <w:b/>
          <w:color w:val="auto"/>
          <w:sz w:val="36"/>
          <w:szCs w:val="36"/>
          <w:highlight w:val="none"/>
          <w:u w:val="single"/>
          <w:shd w:val="clear" w:color="auto" w:fill="auto"/>
        </w:rPr>
      </w:r>
      <w:r/>
    </w:p>
    <w:p>
      <w:pPr>
        <w:pStyle w:val="824"/>
        <w:jc w:val="center"/>
        <w:spacing w:beforeAutospacing="0" w:afterAutospacing="0" w:line="0" w:lineRule="atLeast"/>
        <w:rPr>
          <w:rFonts w:ascii="宋体" w:hAnsi="宋体" w:eastAsia="宋体" w:cs="宋体"/>
          <w:b/>
          <w:color w:val="auto"/>
          <w:sz w:val="36"/>
          <w:szCs w:val="36"/>
          <w:highlight w:val="none"/>
          <w:u w:val="single"/>
          <w:shd w:val="clear" w:color="auto" w:fill="auto"/>
        </w:rPr>
      </w:pPr>
      <w:r>
        <w:rPr>
          <w:rFonts w:ascii="宋体" w:hAnsi="宋体" w:eastAsia="宋体" w:cs="宋体"/>
          <w:b/>
          <w:color w:val="auto"/>
          <w:sz w:val="36"/>
          <w:szCs w:val="36"/>
          <w:highlight w:val="none"/>
          <w:u w:val="single"/>
          <w:shd w:val="clear" w:color="auto" w:fill="auto"/>
        </w:rPr>
      </w:r>
      <w:r/>
    </w:p>
    <w:p>
      <w:pPr>
        <w:pStyle w:val="824"/>
        <w:jc w:val="center"/>
        <w:spacing w:beforeAutospacing="0" w:afterAutospacing="0" w:line="0" w:lineRule="atLeast"/>
        <w:rPr>
          <w:rFonts w:ascii="宋体" w:hAnsi="宋体" w:eastAsia="宋体" w:cs="宋体"/>
          <w:b/>
          <w:color w:val="auto"/>
          <w:sz w:val="36"/>
          <w:szCs w:val="36"/>
          <w:highlight w:val="none"/>
          <w:u w:val="single"/>
          <w:shd w:val="clear" w:color="auto" w:fill="auto"/>
        </w:rPr>
      </w:pPr>
      <w:r>
        <w:rPr>
          <w:rFonts w:ascii="宋体" w:hAnsi="宋体" w:eastAsia="宋体" w:cs="宋体"/>
          <w:b/>
          <w:color w:val="auto"/>
          <w:sz w:val="36"/>
          <w:szCs w:val="36"/>
          <w:highlight w:val="none"/>
          <w:u w:val="single"/>
          <w:shd w:val="clear" w:color="auto" w:fill="auto"/>
        </w:rPr>
      </w:r>
      <w:r/>
    </w:p>
    <w:p>
      <w:pPr>
        <w:pStyle w:val="824"/>
        <w:jc w:val="center"/>
        <w:spacing w:beforeAutospacing="0" w:afterAutospacing="0" w:line="0" w:lineRule="atLeast"/>
        <w:rPr>
          <w:rFonts w:ascii="宋体" w:hAnsi="宋体" w:eastAsia="宋体" w:cs="宋体"/>
          <w:b/>
          <w:color w:val="auto"/>
          <w:sz w:val="36"/>
          <w:szCs w:val="36"/>
          <w:highlight w:val="none"/>
          <w:u w:val="single"/>
          <w:shd w:val="clear" w:color="auto" w:fill="auto"/>
        </w:rPr>
      </w:pPr>
      <w:r>
        <w:rPr>
          <w:rFonts w:ascii="宋体" w:hAnsi="宋体" w:eastAsia="宋体" w:cs="宋体"/>
          <w:b/>
          <w:color w:val="auto"/>
          <w:sz w:val="36"/>
          <w:szCs w:val="36"/>
          <w:highlight w:val="none"/>
          <w:u w:val="single"/>
          <w:shd w:val="clear" w:color="auto" w:fill="auto"/>
        </w:rPr>
      </w:r>
      <w:r/>
    </w:p>
    <w:p>
      <w:pPr>
        <w:pStyle w:val="824"/>
        <w:jc w:val="center"/>
        <w:spacing w:beforeAutospacing="0" w:afterAutospacing="0" w:line="0" w:lineRule="atLeast"/>
        <w:rPr>
          <w:rFonts w:ascii="宋体" w:hAnsi="宋体" w:eastAsia="宋体" w:cs="宋体"/>
          <w:b/>
          <w:color w:val="auto"/>
          <w:sz w:val="36"/>
          <w:szCs w:val="36"/>
          <w:highlight w:val="none"/>
          <w:u w:val="single"/>
          <w:shd w:val="clear" w:color="auto" w:fill="auto"/>
        </w:rPr>
      </w:pPr>
      <w:r>
        <w:rPr>
          <w:rFonts w:ascii="宋体" w:hAnsi="宋体" w:eastAsia="宋体" w:cs="宋体"/>
          <w:b/>
          <w:color w:val="auto"/>
          <w:sz w:val="36"/>
          <w:szCs w:val="36"/>
          <w:highlight w:val="none"/>
          <w:u w:val="single"/>
          <w:shd w:val="clear" w:color="auto" w:fill="auto"/>
        </w:rPr>
      </w:r>
      <w:r/>
    </w:p>
    <w:p>
      <w:pPr>
        <w:pStyle w:val="824"/>
        <w:jc w:val="center"/>
        <w:spacing w:beforeAutospacing="0" w:afterAutospacing="0" w:line="0" w:lineRule="atLeast"/>
        <w:rPr>
          <w:rFonts w:ascii="宋体" w:hAnsi="宋体" w:eastAsia="宋体" w:cs="宋体"/>
          <w:b/>
          <w:color w:val="auto"/>
          <w:sz w:val="36"/>
          <w:szCs w:val="36"/>
          <w:highlight w:val="none"/>
          <w:u w:val="single"/>
          <w:shd w:val="clear" w:color="auto" w:fill="auto"/>
        </w:rPr>
      </w:pPr>
      <w:r>
        <w:rPr>
          <w:rFonts w:ascii="宋体" w:hAnsi="宋体" w:eastAsia="宋体" w:cs="宋体"/>
          <w:b/>
          <w:color w:val="auto"/>
          <w:sz w:val="36"/>
          <w:szCs w:val="36"/>
          <w:highlight w:val="none"/>
          <w:u w:val="single"/>
          <w:shd w:val="clear" w:color="auto" w:fill="auto"/>
        </w:rPr>
      </w:r>
      <w:r/>
    </w:p>
    <w:p>
      <w:pPr>
        <w:pStyle w:val="824"/>
        <w:jc w:val="center"/>
        <w:spacing w:beforeAutospacing="0" w:afterAutospacing="0" w:line="0" w:lineRule="atLeast"/>
        <w:rPr>
          <w:rFonts w:ascii="宋体" w:hAnsi="宋体" w:eastAsia="宋体" w:cs="宋体"/>
          <w:b/>
          <w:color w:val="auto"/>
          <w:sz w:val="36"/>
          <w:szCs w:val="36"/>
          <w:highlight w:val="none"/>
          <w:u w:val="single"/>
          <w:shd w:val="clear" w:color="auto" w:fill="auto"/>
        </w:rPr>
      </w:pPr>
      <w:r>
        <w:rPr>
          <w:rFonts w:ascii="宋体" w:hAnsi="宋体" w:eastAsia="宋体" w:cs="宋体"/>
          <w:b/>
          <w:color w:val="auto"/>
          <w:sz w:val="36"/>
          <w:szCs w:val="36"/>
          <w:highlight w:val="none"/>
          <w:u w:val="single"/>
          <w:shd w:val="clear" w:color="auto" w:fill="auto"/>
        </w:rPr>
      </w:r>
      <w:r/>
    </w:p>
    <w:p>
      <w:pPr>
        <w:pStyle w:val="824"/>
        <w:jc w:val="center"/>
        <w:spacing w:beforeAutospacing="0" w:afterAutospacing="0" w:line="0" w:lineRule="atLeast"/>
        <w:rPr>
          <w:rFonts w:ascii="宋体" w:hAnsi="宋体" w:eastAsia="宋体" w:cs="宋体"/>
          <w:b/>
          <w:color w:val="auto"/>
          <w:sz w:val="36"/>
          <w:szCs w:val="36"/>
          <w:highlight w:val="none"/>
          <w:u w:val="single"/>
          <w:shd w:val="clear" w:color="auto" w:fill="auto"/>
        </w:rPr>
      </w:pPr>
      <w:r>
        <w:rPr>
          <w:rFonts w:ascii="宋体" w:hAnsi="宋体" w:eastAsia="宋体" w:cs="宋体"/>
          <w:b/>
          <w:color w:val="auto"/>
          <w:sz w:val="36"/>
          <w:szCs w:val="36"/>
          <w:highlight w:val="none"/>
          <w:u w:val="single"/>
          <w:shd w:val="clear" w:color="auto" w:fill="auto"/>
        </w:rPr>
      </w:r>
      <w:r/>
    </w:p>
    <w:p>
      <w:pPr>
        <w:pStyle w:val="824"/>
        <w:jc w:val="center"/>
        <w:spacing w:beforeAutospacing="0" w:afterAutospacing="0" w:line="0" w:lineRule="atLeast"/>
        <w:rPr>
          <w:rFonts w:ascii="宋体" w:hAnsi="宋体" w:eastAsia="宋体" w:cs="宋体"/>
          <w:b/>
          <w:color w:val="auto"/>
          <w:sz w:val="36"/>
          <w:szCs w:val="36"/>
          <w:highlight w:val="none"/>
          <w:u w:val="single"/>
          <w:shd w:val="clear" w:color="auto" w:fill="auto"/>
        </w:rPr>
      </w:pPr>
      <w:r>
        <w:rPr>
          <w:rFonts w:ascii="宋体" w:hAnsi="宋体" w:eastAsia="宋体" w:cs="宋体"/>
          <w:b/>
          <w:color w:val="auto"/>
          <w:sz w:val="36"/>
          <w:szCs w:val="36"/>
          <w:highlight w:val="none"/>
          <w:u w:val="single"/>
          <w:shd w:val="clear" w:color="auto" w:fill="auto"/>
        </w:rPr>
      </w:r>
      <w:r/>
    </w:p>
    <w:p>
      <w:pPr>
        <w:pStyle w:val="824"/>
        <w:jc w:val="center"/>
        <w:spacing w:beforeAutospacing="0" w:afterAutospacing="0" w:line="0" w:lineRule="atLeast"/>
        <w:rPr>
          <w:rFonts w:ascii="宋体" w:hAnsi="宋体" w:eastAsia="宋体" w:cs="宋体"/>
          <w:b/>
          <w:color w:val="auto"/>
          <w:sz w:val="36"/>
          <w:szCs w:val="36"/>
          <w:highlight w:val="none"/>
          <w:u w:val="single"/>
          <w:shd w:val="clear" w:color="auto" w:fill="auto"/>
        </w:rPr>
      </w:pPr>
      <w:r>
        <w:rPr>
          <w:rFonts w:ascii="宋体" w:hAnsi="宋体" w:eastAsia="宋体" w:cs="宋体"/>
          <w:b/>
          <w:color w:val="auto"/>
          <w:sz w:val="36"/>
          <w:szCs w:val="36"/>
          <w:highlight w:val="none"/>
          <w:u w:val="single"/>
          <w:shd w:val="clear" w:color="auto" w:fill="auto"/>
        </w:rPr>
      </w:r>
      <w:r/>
    </w:p>
    <w:p>
      <w:pPr>
        <w:pStyle w:val="824"/>
        <w:jc w:val="center"/>
        <w:spacing w:beforeAutospacing="0" w:afterAutospacing="0" w:line="0" w:lineRule="atLeast"/>
        <w:rPr>
          <w:rFonts w:ascii="宋体" w:hAnsi="宋体" w:eastAsia="宋体" w:cs="宋体"/>
          <w:b/>
          <w:color w:val="auto"/>
          <w:sz w:val="36"/>
          <w:szCs w:val="36"/>
          <w:highlight w:val="none"/>
          <w:u w:val="single"/>
          <w:shd w:val="clear" w:color="auto" w:fill="auto"/>
        </w:rPr>
      </w:pPr>
      <w:r>
        <w:rPr>
          <w:rFonts w:ascii="宋体" w:hAnsi="宋体" w:eastAsia="宋体" w:cs="宋体"/>
          <w:b/>
          <w:color w:val="auto"/>
          <w:sz w:val="36"/>
          <w:szCs w:val="36"/>
          <w:highlight w:val="none"/>
          <w:u w:val="single"/>
          <w:shd w:val="clear" w:color="auto" w:fill="auto"/>
        </w:rPr>
      </w:r>
      <w:r/>
    </w:p>
    <w:p>
      <w:pPr>
        <w:pStyle w:val="824"/>
        <w:jc w:val="center"/>
        <w:spacing w:beforeAutospacing="0" w:afterAutospacing="0" w:line="0" w:lineRule="atLeast"/>
        <w:rPr>
          <w:rFonts w:ascii="宋体" w:hAnsi="宋体" w:eastAsia="宋体" w:cs="宋体"/>
          <w:b/>
          <w:color w:val="auto"/>
          <w:sz w:val="36"/>
          <w:szCs w:val="36"/>
          <w:highlight w:val="none"/>
          <w:u w:val="single"/>
          <w:shd w:val="clear" w:color="auto" w:fill="auto"/>
        </w:rPr>
      </w:pPr>
      <w:r>
        <w:rPr>
          <w:rFonts w:ascii="宋体" w:hAnsi="宋体" w:eastAsia="宋体" w:cs="宋体"/>
          <w:b/>
          <w:color w:val="auto"/>
          <w:sz w:val="36"/>
          <w:szCs w:val="36"/>
          <w:highlight w:val="none"/>
          <w:u w:val="single"/>
          <w:shd w:val="clear" w:color="auto" w:fill="auto"/>
        </w:rPr>
      </w:r>
      <w:r/>
    </w:p>
    <w:p>
      <w:pPr>
        <w:pStyle w:val="824"/>
        <w:jc w:val="center"/>
        <w:spacing w:beforeAutospacing="0" w:afterAutospacing="0" w:line="0" w:lineRule="atLeast"/>
        <w:rPr>
          <w:color w:val="auto"/>
          <w:highlight w:val="none"/>
          <w:shd w:val="clear" w:color="auto" w:fill="auto"/>
        </w:rPr>
      </w:pPr>
      <w:r>
        <w:rPr>
          <w:rFonts w:hint="eastAsia" w:ascii="宋体" w:hAnsi="宋体" w:eastAsia="宋体" w:cs="宋体"/>
          <w:b/>
          <w:color w:val="auto"/>
          <w:sz w:val="32"/>
          <w:szCs w:val="32"/>
          <w:highlight w:val="none"/>
          <w:shd w:val="clear" w:color="auto" w:fill="auto"/>
        </w:rPr>
        <w:t xml:space="preserve">响应文件目录</w:t>
      </w:r>
      <w:r/>
    </w:p>
    <w:p>
      <w:pPr>
        <w:pStyle w:val="824"/>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24"/>
        <w:ind w:left="480"/>
        <w:jc w:val="both"/>
        <w:spacing w:beforeAutospacing="0" w:afterAutospacing="0"/>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 w:val="0"/>
          <w:iCs/>
          <w:color w:val="auto"/>
          <w:sz w:val="24"/>
          <w:szCs w:val="24"/>
          <w:highlight w:val="none"/>
          <w:u w:val="none"/>
          <w:shd w:val="clear" w:color="auto" w:fill="auto"/>
          <w:lang w:val="en-US" w:eastAsia="zh-CN" w:bidi="ar-SA"/>
        </w:rPr>
      </w:pPr>
      <w:r>
        <w:rPr>
          <w:rFonts w:hint="eastAsia" w:ascii="宋体" w:hAnsi="宋体" w:eastAsia="宋体" w:cs="宋体"/>
          <w:i w:val="0"/>
          <w:iCs/>
          <w:color w:val="auto"/>
          <w:sz w:val="24"/>
          <w:szCs w:val="24"/>
          <w:highlight w:val="none"/>
          <w:u w:val="none"/>
          <w:shd w:val="clear" w:color="auto" w:fill="auto"/>
          <w:lang w:val="en-US" w:eastAsia="zh-CN" w:bidi="ar-SA"/>
        </w:rPr>
        <w:t xml:space="preserve">二、上一年度的财务状况报告（至少提供资产负债表、利润表、现金流量表，</w:t>
      </w:r>
      <w:r/>
    </w:p>
    <w:p>
      <w:pPr>
        <w:pStyle w:val="824"/>
        <w:jc w:val="both"/>
        <w:spacing w:beforeAutospacing="0" w:afterAutospacing="0"/>
        <w:rPr>
          <w:rFonts w:hint="eastAsia" w:ascii="宋体" w:hAnsi="宋体" w:eastAsia="宋体" w:cs="宋体"/>
          <w:i w:val="0"/>
          <w:iCs/>
          <w:color w:val="auto"/>
          <w:sz w:val="24"/>
          <w:szCs w:val="24"/>
          <w:highlight w:val="none"/>
          <w:u w:val="none"/>
          <w:shd w:val="clear" w:color="auto" w:fill="auto"/>
          <w:lang w:val="en-US" w:eastAsia="zh-CN" w:bidi="ar-SA"/>
        </w:rPr>
      </w:pPr>
      <w:r>
        <w:rPr>
          <w:rFonts w:hint="eastAsia" w:ascii="宋体" w:hAnsi="宋体" w:eastAsia="宋体" w:cs="宋体"/>
          <w:i w:val="0"/>
          <w:iCs/>
          <w:color w:val="auto"/>
          <w:sz w:val="24"/>
          <w:szCs w:val="24"/>
          <w:highlight w:val="none"/>
          <w:u w:val="none"/>
          <w:shd w:val="clear" w:color="auto" w:fill="auto"/>
          <w:lang w:val="en-US" w:eastAsia="zh-CN" w:bidi="ar-SA"/>
        </w:rPr>
        <w:t xml:space="preserve">协商供应商成立不满一年无需提供）</w:t>
      </w:r>
      <w:r/>
    </w:p>
    <w:p>
      <w:pPr>
        <w:pStyle w:val="824"/>
        <w:numPr>
          <w:ilvl w:val="0"/>
          <w:numId w:val="4"/>
        </w:numPr>
        <w:ind w:left="480"/>
        <w:jc w:val="both"/>
        <w:spacing w:beforeAutospacing="0" w:afterAutospacing="0"/>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 xml:space="preserve">具备履行合同所必需的设备和专业技术能力的书面声明</w:t>
      </w:r>
      <w:r/>
    </w:p>
    <w:p>
      <w:pPr>
        <w:pStyle w:val="824"/>
        <w:numPr>
          <w:ilvl w:val="0"/>
          <w:numId w:val="0"/>
        </w:numPr>
        <w:ind w:firstLine="480"/>
        <w:jc w:val="both"/>
        <w:spacing w:beforeAutospacing="0" w:afterAutospacing="0"/>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lang w:val="en-US" w:eastAsia="zh-CN"/>
        </w:rPr>
        <w:t xml:space="preserve">四</w:t>
      </w:r>
      <w:r>
        <w:rPr>
          <w:rFonts w:hint="eastAsia" w:ascii="宋体" w:hAnsi="宋体" w:eastAsia="宋体" w:cs="宋体"/>
          <w:i w:val="0"/>
          <w:iCs/>
          <w:color w:val="auto"/>
          <w:sz w:val="24"/>
          <w:szCs w:val="24"/>
          <w:highlight w:val="none"/>
          <w:u w:val="none"/>
          <w:shd w:val="clear" w:color="auto" w:fill="auto"/>
        </w:rPr>
        <w:t xml:space="preserve">、依法缴纳税收和社会保障资金的相关材料（提供提交协商响应文件截止时间前一年内至少一个月依法缴纳税收及缴纳社会保障资金的证明材料。协商供应商依法享受缓缴、免缴税收、社会保障资金的提供证明材料。）</w:t>
      </w:r>
      <w:r/>
    </w:p>
    <w:p>
      <w:pPr>
        <w:pStyle w:val="824"/>
        <w:ind w:firstLine="480"/>
        <w:jc w:val="both"/>
        <w:spacing w:beforeAutospacing="0" w:afterAutospacing="0" w:line="0" w:lineRule="atLeast"/>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 xml:space="preserve">五、参加政府采购活动前 3 年内在经营活动中没有重大违法记录的书面声明</w:t>
      </w:r>
      <w:r/>
    </w:p>
    <w:p>
      <w:pPr>
        <w:pStyle w:val="824"/>
        <w:ind w:firstLine="480"/>
        <w:jc w:val="both"/>
        <w:spacing w:beforeAutospacing="0" w:afterAutospacing="0" w:line="0" w:lineRule="atLeast"/>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 xml:space="preserve">六、特定资格要求的证明文件（如果本项目设置特定资格要求，则需要提供）</w:t>
      </w:r>
      <w:r/>
    </w:p>
    <w:p>
      <w:pPr>
        <w:pStyle w:val="824"/>
        <w:ind w:firstLine="480"/>
        <w:jc w:val="both"/>
        <w:spacing w:beforeAutospacing="0" w:afterAutospacing="0" w:line="0" w:lineRule="atLeast"/>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 xml:space="preserve">七、法人授权书</w:t>
      </w:r>
      <w:r/>
    </w:p>
    <w:p>
      <w:pPr>
        <w:pStyle w:val="824"/>
        <w:ind w:firstLine="480"/>
        <w:jc w:val="both"/>
        <w:spacing w:beforeAutospacing="0" w:afterAutospacing="0" w:line="0" w:lineRule="atLeast"/>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 xml:space="preserve">八、单一来源响应函</w:t>
      </w:r>
      <w:r/>
    </w:p>
    <w:p>
      <w:pPr>
        <w:pStyle w:val="824"/>
        <w:ind w:firstLine="480"/>
        <w:jc w:val="both"/>
        <w:spacing w:beforeAutospacing="0" w:afterAutospacing="0" w:line="0" w:lineRule="atLeast"/>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 xml:space="preserve">九、联合体协议</w:t>
      </w:r>
      <w:r/>
    </w:p>
    <w:p>
      <w:pPr>
        <w:pStyle w:val="824"/>
        <w:ind w:firstLine="480"/>
        <w:jc w:val="both"/>
        <w:spacing w:beforeAutospacing="0" w:afterAutospacing="0" w:line="0" w:lineRule="atLeast"/>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 xml:space="preserve">十、分项报价表</w:t>
      </w:r>
      <w:r/>
    </w:p>
    <w:p>
      <w:pPr>
        <w:pStyle w:val="824"/>
        <w:ind w:firstLine="480"/>
        <w:jc w:val="both"/>
        <w:spacing w:beforeAutospacing="0" w:afterAutospacing="0" w:line="0" w:lineRule="atLeast"/>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 xml:space="preserve">十一、技术要求响应及偏离表</w:t>
      </w:r>
      <w:r/>
    </w:p>
    <w:p>
      <w:pPr>
        <w:pStyle w:val="824"/>
        <w:ind w:firstLine="480"/>
        <w:jc w:val="both"/>
        <w:spacing w:beforeAutospacing="0" w:afterAutospacing="0" w:line="0" w:lineRule="atLeast"/>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 xml:space="preserve">十二、商务要求响应及偏离表</w:t>
      </w:r>
      <w:r/>
    </w:p>
    <w:p>
      <w:pPr>
        <w:pStyle w:val="824"/>
        <w:ind w:left="480"/>
        <w:jc w:val="both"/>
        <w:spacing w:beforeAutospacing="0" w:afterAutospacing="0"/>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 xml:space="preserve">十</w:t>
      </w:r>
      <w:r>
        <w:rPr>
          <w:rFonts w:hint="eastAsia" w:ascii="宋体" w:hAnsi="宋体" w:eastAsia="宋体" w:cs="宋体"/>
          <w:i w:val="0"/>
          <w:iCs/>
          <w:color w:val="auto"/>
          <w:sz w:val="24"/>
          <w:szCs w:val="24"/>
          <w:highlight w:val="none"/>
          <w:u w:val="none"/>
          <w:shd w:val="clear" w:color="auto" w:fill="auto"/>
          <w:lang w:val="en-US" w:eastAsia="zh-CN"/>
        </w:rPr>
        <w:t xml:space="preserve">三</w:t>
      </w:r>
      <w:r>
        <w:rPr>
          <w:rFonts w:hint="eastAsia" w:ascii="宋体" w:hAnsi="宋体" w:eastAsia="宋体" w:cs="宋体"/>
          <w:i w:val="0"/>
          <w:iCs/>
          <w:color w:val="auto"/>
          <w:sz w:val="24"/>
          <w:szCs w:val="24"/>
          <w:highlight w:val="none"/>
          <w:u w:val="none"/>
          <w:shd w:val="clear" w:color="auto" w:fill="auto"/>
        </w:rPr>
        <w:t xml:space="preserve">、开标一览表</w:t>
      </w:r>
      <w:r/>
    </w:p>
    <w:p>
      <w:pPr>
        <w:ind w:firstLine="480"/>
        <w:spacing w:before="50" w:after="50"/>
        <w:widowControl/>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 xml:space="preserve">十</w:t>
      </w:r>
      <w:r>
        <w:rPr>
          <w:rFonts w:hint="eastAsia" w:ascii="宋体" w:hAnsi="宋体" w:eastAsia="宋体" w:cs="宋体"/>
          <w:i w:val="0"/>
          <w:iCs/>
          <w:color w:val="auto"/>
          <w:sz w:val="24"/>
          <w:szCs w:val="24"/>
          <w:highlight w:val="none"/>
          <w:u w:val="none"/>
          <w:shd w:val="clear" w:color="auto" w:fill="auto"/>
          <w:lang w:val="en-US" w:eastAsia="zh-CN"/>
        </w:rPr>
        <w:t xml:space="preserve">四</w:t>
      </w:r>
      <w:r>
        <w:rPr>
          <w:rFonts w:hint="eastAsia" w:ascii="宋体" w:hAnsi="宋体" w:eastAsia="宋体" w:cs="宋体"/>
          <w:i w:val="0"/>
          <w:iCs/>
          <w:color w:val="auto"/>
          <w:sz w:val="24"/>
          <w:szCs w:val="24"/>
          <w:highlight w:val="none"/>
          <w:u w:val="none"/>
          <w:shd w:val="clear" w:color="auto" w:fill="auto"/>
        </w:rPr>
        <w:t xml:space="preserve">、技术方案、服务承诺、培训承诺等</w:t>
      </w:r>
      <w:r/>
    </w:p>
    <w:p>
      <w:pPr>
        <w:pStyle w:val="824"/>
        <w:ind w:firstLine="480"/>
        <w:jc w:val="both"/>
        <w:spacing w:beforeAutospacing="0" w:afterAutospacing="0" w:line="360" w:lineRule="auto"/>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 xml:space="preserve">十</w:t>
      </w:r>
      <w:r>
        <w:rPr>
          <w:rFonts w:hint="eastAsia" w:ascii="宋体" w:hAnsi="宋体" w:eastAsia="宋体" w:cs="宋体"/>
          <w:i w:val="0"/>
          <w:iCs/>
          <w:color w:val="auto"/>
          <w:sz w:val="24"/>
          <w:szCs w:val="24"/>
          <w:highlight w:val="none"/>
          <w:u w:val="none"/>
          <w:shd w:val="clear" w:color="auto" w:fill="auto"/>
          <w:lang w:val="en-US" w:eastAsia="zh-CN"/>
        </w:rPr>
        <w:t xml:space="preserve">五</w:t>
      </w:r>
      <w:r>
        <w:rPr>
          <w:rFonts w:hint="eastAsia" w:ascii="宋体" w:hAnsi="宋体" w:eastAsia="宋体" w:cs="宋体"/>
          <w:i w:val="0"/>
          <w:iCs/>
          <w:color w:val="auto"/>
          <w:sz w:val="24"/>
          <w:szCs w:val="24"/>
          <w:highlight w:val="none"/>
          <w:u w:val="none"/>
          <w:shd w:val="clear" w:color="auto" w:fill="auto"/>
        </w:rPr>
        <w:t xml:space="preserve">、盐城市政府采购事前信用承诺书</w:t>
      </w:r>
      <w:r/>
    </w:p>
    <w:p>
      <w:pPr>
        <w:pStyle w:val="824"/>
        <w:ind w:firstLine="480"/>
        <w:jc w:val="both"/>
        <w:spacing w:beforeAutospacing="0" w:afterAutospacing="0" w:line="0" w:lineRule="atLeast"/>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r>
      <w:r/>
    </w:p>
    <w:p>
      <w:pPr>
        <w:pStyle w:val="824"/>
        <w:ind w:firstLine="480"/>
        <w:jc w:val="both"/>
        <w:spacing w:beforeAutospacing="0" w:afterAutospacing="0" w:line="360" w:lineRule="auto"/>
        <w:rPr>
          <w:rFonts w:ascii="宋体" w:hAnsi="宋体" w:eastAsia="宋体" w:cs="宋体"/>
          <w:color w:val="auto"/>
          <w:highlight w:val="none"/>
          <w:shd w:val="clear" w:color="auto" w:fill="auto"/>
        </w:rPr>
      </w:pPr>
      <w:r>
        <w:rPr>
          <w:color w:val="auto"/>
          <w:highlight w:val="none"/>
          <w:shd w:val="clear" w:color="auto" w:fill="auto"/>
        </w:rPr>
        <w:t xml:space="preserve"> </w:t>
      </w:r>
      <w:r/>
    </w:p>
    <w:p>
      <w:pPr>
        <w:pStyle w:val="824"/>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824"/>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24"/>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24"/>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24"/>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24"/>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24"/>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824"/>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824"/>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824"/>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824"/>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824"/>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824"/>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824"/>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824"/>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824"/>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824"/>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824"/>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824"/>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824"/>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824"/>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824"/>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824"/>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24"/>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24"/>
        <w:jc w:val="both"/>
        <w:spacing w:beforeAutospacing="0" w:afterAutospacing="0"/>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 xml:space="preserve">一、法人或者其他组织的营业执照等证明文件，自然人的身份证明</w:t>
      </w:r>
      <w:r/>
    </w:p>
    <w:p>
      <w:pPr>
        <w:pStyle w:val="824"/>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24"/>
        <w:jc w:val="both"/>
        <w:spacing w:beforeAutospacing="0" w:afterAutospacing="0"/>
        <w:rPr>
          <w:rFonts w:hint="eastAsia" w:eastAsia="黑体"/>
          <w:color w:val="auto"/>
          <w:highlight w:val="none"/>
          <w:shd w:val="clear" w:color="auto" w:fill="auto"/>
          <w:lang w:val="en-US" w:eastAsia="zh-CN"/>
        </w:rPr>
      </w:pPr>
      <w:r>
        <w:rPr>
          <w:rFonts w:hint="eastAsia" w:ascii="黑体" w:hAnsi="宋体" w:eastAsia="黑体" w:cs="黑体"/>
          <w:i/>
          <w:color w:val="auto"/>
          <w:sz w:val="32"/>
          <w:szCs w:val="32"/>
          <w:highlight w:val="none"/>
          <w:u w:val="single"/>
          <w:shd w:val="clear" w:color="auto" w:fill="auto"/>
        </w:rPr>
        <w:t xml:space="preserve">二、上一年度的财务状况报</w:t>
      </w:r>
      <w:r>
        <w:rPr>
          <w:rFonts w:hint="eastAsia" w:ascii="黑体" w:hAnsi="宋体" w:eastAsia="黑体" w:cs="黑体"/>
          <w:i/>
          <w:color w:val="auto"/>
          <w:sz w:val="32"/>
          <w:szCs w:val="32"/>
          <w:highlight w:val="none"/>
          <w:u w:val="single"/>
          <w:shd w:val="clear" w:color="auto" w:fill="auto"/>
          <w:lang w:val="en-US" w:eastAsia="zh-CN"/>
        </w:rPr>
        <w:t xml:space="preserve">告</w:t>
      </w:r>
      <w:r/>
    </w:p>
    <w:p>
      <w:pPr>
        <w:ind w:firstLine="480"/>
        <w:jc w:val="left"/>
        <w:tabs>
          <w:tab w:val="left" w:pos="1331" w:leader="none"/>
        </w:tabs>
        <w:rPr>
          <w:rFonts w:hint="eastAsia" w:ascii="宋体" w:hAnsi="宋体" w:eastAsia="宋体" w:cs="宋体"/>
          <w:i w:val="0"/>
          <w:iCs/>
          <w:color w:val="auto"/>
          <w:sz w:val="24"/>
          <w:szCs w:val="24"/>
          <w:highlight w:val="none"/>
          <w:u w:val="none"/>
          <w:shd w:val="clear" w:color="auto" w:fill="auto"/>
          <w:lang w:val="en-US" w:eastAsia="zh-CN" w:bidi="ar-SA"/>
        </w:rPr>
      </w:pPr>
      <w:r>
        <w:rPr>
          <w:rFonts w:hint="eastAsia" w:ascii="宋体" w:hAnsi="宋体" w:eastAsia="宋体" w:cs="宋体"/>
          <w:i w:val="0"/>
          <w:iCs/>
          <w:color w:val="auto"/>
          <w:sz w:val="24"/>
          <w:szCs w:val="24"/>
          <w:highlight w:val="none"/>
          <w:u w:val="none"/>
          <w:shd w:val="clear" w:color="auto" w:fill="auto"/>
          <w:lang w:val="en-US" w:eastAsia="zh-CN" w:bidi="ar-SA"/>
        </w:rPr>
        <w:t xml:space="preserve">（至少提供资产负债表、利润表、现金流量表，协商供应商成立不满一年无需提供）</w:t>
      </w:r>
      <w:r/>
    </w:p>
    <w:p>
      <w:pPr>
        <w:pStyle w:val="824"/>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24"/>
        <w:jc w:val="both"/>
        <w:spacing w:beforeAutospacing="0" w:afterAutospacing="0"/>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lang w:val="en-US" w:eastAsia="zh-CN"/>
        </w:rPr>
        <w:t xml:space="preserve">三</w:t>
      </w:r>
      <w:r>
        <w:rPr>
          <w:rFonts w:hint="eastAsia" w:ascii="黑体" w:hAnsi="宋体" w:eastAsia="黑体" w:cs="黑体"/>
          <w:i/>
          <w:color w:val="auto"/>
          <w:sz w:val="32"/>
          <w:szCs w:val="32"/>
          <w:highlight w:val="none"/>
          <w:u w:val="single"/>
          <w:shd w:val="clear" w:color="auto" w:fill="auto"/>
        </w:rPr>
        <w:t xml:space="preserve">、具备履行合同所必需的设备和专业技术能力的书面声明</w:t>
      </w:r>
      <w:r/>
    </w:p>
    <w:p>
      <w:pPr>
        <w:pStyle w:val="824"/>
        <w:ind w:firstLine="492"/>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我单位郑重声明：我单位具备履行本项采购合同所必需的设备和专业技术能力，为履行本项采购合同我公司具备如下主要设备和主要专业技术能力：</w:t>
      </w:r>
      <w:r/>
    </w:p>
    <w:p>
      <w:pPr>
        <w:pStyle w:val="824"/>
        <w:ind w:firstLine="492"/>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主要设备有：</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w:t>
      </w:r>
      <w:r/>
    </w:p>
    <w:p>
      <w:pPr>
        <w:pStyle w:val="824"/>
        <w:ind w:firstLine="492"/>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主要专业技术能力有：</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w:t>
      </w:r>
      <w:r/>
    </w:p>
    <w:p>
      <w:pPr>
        <w:pStyle w:val="824"/>
        <w:jc w:val="both"/>
        <w:spacing w:beforeAutospacing="0" w:afterAutospacing="0" w:line="0" w:lineRule="atLeast"/>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lang w:val="en-US" w:eastAsia="zh-CN"/>
        </w:rPr>
        <w:t xml:space="preserve">四</w:t>
      </w:r>
      <w:r>
        <w:rPr>
          <w:rFonts w:hint="eastAsia" w:ascii="黑体" w:hAnsi="宋体" w:eastAsia="黑体" w:cs="黑体"/>
          <w:i/>
          <w:color w:val="auto"/>
          <w:sz w:val="32"/>
          <w:szCs w:val="32"/>
          <w:highlight w:val="none"/>
          <w:u w:val="single"/>
          <w:shd w:val="clear" w:color="auto" w:fill="auto"/>
        </w:rPr>
        <w:t xml:space="preserve">、依法缴纳税收和社会保障资金的相关材料</w:t>
      </w:r>
      <w:r/>
    </w:p>
    <w:p>
      <w:pPr>
        <w:pStyle w:val="824"/>
        <w:ind w:firstLine="480"/>
        <w:jc w:val="both"/>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提供提交响应文件截止时间前一年内至少一个月依法缴纳税收及缴纳社会保障资金的证明材料。供应商依法享受缓缴、免缴税收、社会保障资金的提供证明材料。</w:t>
      </w:r>
      <w:r/>
    </w:p>
    <w:p>
      <w:pPr>
        <w:pStyle w:val="824"/>
        <w:jc w:val="both"/>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24"/>
        <w:jc w:val="both"/>
        <w:spacing w:beforeAutospacing="0" w:afterAutospacing="0"/>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 xml:space="preserve">五、参加政府采购活动前 3 年内在经营活动中没有重大违法记录的书面声明</w:t>
      </w:r>
      <w:r/>
    </w:p>
    <w:p>
      <w:pPr>
        <w:pStyle w:val="824"/>
        <w:jc w:val="center"/>
        <w:spacing w:beforeAutospacing="0" w:afterAutospacing="0" w:line="0" w:lineRule="atLeast"/>
        <w:rPr>
          <w:color w:val="auto"/>
          <w:highlight w:val="none"/>
          <w:shd w:val="clear" w:color="auto" w:fill="auto"/>
        </w:rPr>
      </w:pPr>
      <w:r>
        <w:rPr>
          <w:rFonts w:hint="eastAsia" w:ascii="宋体" w:hAnsi="宋体" w:eastAsia="宋体" w:cs="宋体"/>
          <w:b/>
          <w:color w:val="auto"/>
          <w:sz w:val="44"/>
          <w:szCs w:val="44"/>
          <w:highlight w:val="none"/>
          <w:shd w:val="clear" w:color="auto" w:fill="auto"/>
        </w:rPr>
        <w:t xml:space="preserve">声  明</w:t>
      </w:r>
      <w:r/>
    </w:p>
    <w:p>
      <w:pPr>
        <w:pStyle w:val="824"/>
        <w:jc w:val="both"/>
        <w:spacing w:beforeAutospacing="0" w:afterAutospacing="0" w:line="0" w:lineRule="atLeast"/>
        <w:rPr>
          <w:color w:val="auto"/>
          <w:highlight w:val="none"/>
          <w:shd w:val="clear" w:color="auto" w:fill="auto"/>
        </w:rPr>
      </w:pPr>
      <w:r>
        <w:rPr>
          <w:rFonts w:hint="eastAsia" w:ascii="宋体" w:hAnsi="宋体" w:eastAsia="宋体" w:cs="宋体"/>
          <w:b/>
          <w:color w:val="auto"/>
          <w:highlight w:val="none"/>
          <w:shd w:val="clear" w:color="auto" w:fill="auto"/>
        </w:rPr>
        <w:t xml:space="preserve">    </w:t>
      </w:r>
      <w:r>
        <w:rPr>
          <w:rFonts w:hint="eastAsia" w:ascii="宋体" w:hAnsi="宋体" w:eastAsia="宋体" w:cs="宋体"/>
          <w:color w:val="auto"/>
          <w:highlight w:val="none"/>
          <w:shd w:val="clear" w:color="auto" w:fill="auto"/>
        </w:rPr>
        <w:t xml:space="preserve">我单位郑重声明：参加本次政府采购活动前 3 年内，我单位在经营活动中没有因违法经营受到刑事处罚或者责令停产停业、吊销许可证或者执照、较大数额罚款等行政处罚。</w:t>
      </w:r>
      <w:r/>
    </w:p>
    <w:p>
      <w:pPr>
        <w:pStyle w:val="824"/>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24"/>
        <w:jc w:val="both"/>
        <w:spacing w:beforeAutospacing="0" w:afterAutospacing="0"/>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 xml:space="preserve">六、特定资格要求的证明文件</w:t>
      </w:r>
      <w:r/>
    </w:p>
    <w:p>
      <w:pPr>
        <w:pStyle w:val="824"/>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   如果本项目申请人的特定资格要求中要求提供的，必须提供。</w:t>
      </w:r>
      <w:r/>
    </w:p>
    <w:p>
      <w:pPr>
        <w:pStyle w:val="824"/>
        <w:jc w:val="center"/>
        <w:spacing w:beforeAutospacing="0" w:afterAutospacing="0"/>
        <w:rPr>
          <w:rFonts w:ascii="黑体" w:hAnsi="宋体" w:eastAsia="黑体" w:cs="黑体"/>
          <w:i/>
          <w:color w:val="auto"/>
          <w:sz w:val="32"/>
          <w:szCs w:val="32"/>
          <w:highlight w:val="none"/>
          <w:u w:val="single"/>
          <w:shd w:val="clear" w:color="auto" w:fill="auto"/>
        </w:rPr>
      </w:pPr>
      <w:r/>
      <w:bookmarkStart w:id="160" w:name="_Toc120614284"/>
      <w:r/>
      <w:r/>
    </w:p>
    <w:p>
      <w:pPr>
        <w:pStyle w:val="824"/>
        <w:jc w:val="center"/>
        <w:spacing w:beforeAutospacing="0" w:afterAutospacing="0"/>
        <w:rPr>
          <w:rFonts w:ascii="黑体" w:hAnsi="宋体" w:eastAsia="黑体" w:cs="黑体"/>
          <w:i/>
          <w:color w:val="auto"/>
          <w:sz w:val="32"/>
          <w:szCs w:val="32"/>
          <w:highlight w:val="none"/>
          <w:u w:val="single"/>
          <w:shd w:val="clear" w:color="auto" w:fill="auto"/>
        </w:rPr>
      </w:pPr>
      <w:r>
        <w:rPr>
          <w:rFonts w:ascii="黑体" w:hAnsi="宋体" w:eastAsia="黑体" w:cs="黑体"/>
          <w:i/>
          <w:color w:val="auto"/>
          <w:sz w:val="32"/>
          <w:szCs w:val="32"/>
          <w:highlight w:val="none"/>
          <w:u w:val="single"/>
          <w:shd w:val="clear" w:color="auto" w:fill="auto"/>
        </w:rPr>
      </w:r>
      <w:r/>
    </w:p>
    <w:p>
      <w:pPr>
        <w:pStyle w:val="824"/>
        <w:jc w:val="center"/>
        <w:spacing w:beforeAutospacing="0" w:afterAutospacing="0"/>
        <w:rPr>
          <w:rFonts w:ascii="黑体" w:hAnsi="宋体" w:eastAsia="黑体" w:cs="黑体"/>
          <w:i/>
          <w:color w:val="auto"/>
          <w:sz w:val="32"/>
          <w:szCs w:val="32"/>
          <w:highlight w:val="none"/>
          <w:u w:val="single"/>
          <w:shd w:val="clear" w:color="auto" w:fill="auto"/>
        </w:rPr>
      </w:pPr>
      <w:r>
        <w:rPr>
          <w:rFonts w:ascii="黑体" w:hAnsi="宋体" w:eastAsia="黑体" w:cs="黑体"/>
          <w:i/>
          <w:color w:val="auto"/>
          <w:sz w:val="32"/>
          <w:szCs w:val="32"/>
          <w:highlight w:val="none"/>
          <w:u w:val="single"/>
          <w:shd w:val="clear" w:color="auto" w:fill="auto"/>
        </w:rPr>
      </w:r>
      <w:r/>
    </w:p>
    <w:p>
      <w:pPr>
        <w:pStyle w:val="824"/>
        <w:jc w:val="center"/>
        <w:spacing w:beforeAutospacing="0" w:afterAutospacing="0"/>
        <w:rPr>
          <w:rFonts w:ascii="黑体" w:hAnsi="宋体" w:eastAsia="黑体" w:cs="黑体"/>
          <w:i/>
          <w:color w:val="auto"/>
          <w:sz w:val="32"/>
          <w:szCs w:val="32"/>
          <w:highlight w:val="none"/>
          <w:u w:val="single"/>
          <w:shd w:val="clear" w:color="auto" w:fill="auto"/>
        </w:rPr>
      </w:pPr>
      <w:r>
        <w:rPr>
          <w:rFonts w:ascii="黑体" w:hAnsi="宋体" w:eastAsia="黑体" w:cs="黑体"/>
          <w:i/>
          <w:color w:val="auto"/>
          <w:sz w:val="32"/>
          <w:szCs w:val="32"/>
          <w:highlight w:val="none"/>
          <w:u w:val="single"/>
          <w:shd w:val="clear" w:color="auto" w:fill="auto"/>
        </w:rPr>
      </w:r>
      <w:r/>
    </w:p>
    <w:p>
      <w:pPr>
        <w:pStyle w:val="824"/>
        <w:jc w:val="center"/>
        <w:spacing w:beforeAutospacing="0" w:afterAutospacing="0"/>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 xml:space="preserve">七、法人授权书</w:t>
      </w:r>
      <w:r/>
    </w:p>
    <w:p>
      <w:pPr>
        <w:pStyle w:val="824"/>
        <w:ind w:firstLine="480"/>
        <w:jc w:val="both"/>
        <w:spacing w:beforeAutospacing="0" w:afterAutospacing="0"/>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本授权书声明：____________（供应商名称）授权________________（被授权人的姓名）为我方就JSZC-</w:t>
      </w:r>
      <w:r>
        <w:rPr>
          <w:rFonts w:ascii="Times New Roman" w:hAnsi="Times New Roman"/>
          <w:color w:val="auto"/>
          <w:highlight w:val="none"/>
          <w:u w:val="single"/>
          <w:shd w:val="clear" w:color="auto" w:fill="auto"/>
        </w:rPr>
        <w:t xml:space="preserve">        </w:t>
      </w:r>
      <w:r>
        <w:rPr>
          <w:rFonts w:ascii="Times New Roman" w:hAnsi="Times New Roman"/>
          <w:color w:val="auto"/>
          <w:highlight w:val="none"/>
          <w:shd w:val="clear" w:color="auto" w:fill="auto"/>
        </w:rPr>
        <w:t xml:space="preserve">号项目采购活动的合法代理人，以本单位名义全权处理一切与该项目采购有关的事务。</w:t>
      </w:r>
      <w:r/>
    </w:p>
    <w:p>
      <w:pPr>
        <w:pStyle w:val="824"/>
        <w:ind w:firstLine="480"/>
        <w:jc w:val="both"/>
        <w:spacing w:beforeAutospacing="0" w:afterAutospacing="0"/>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本授权书于______年____月____日起生效，特此声明。</w:t>
      </w:r>
      <w:r/>
    </w:p>
    <w:p>
      <w:pPr>
        <w:pStyle w:val="824"/>
        <w:jc w:val="both"/>
        <w:spacing w:beforeAutospacing="0" w:afterAutospacing="0"/>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          被授权人身份证号码：</w:t>
      </w:r>
      <w:r>
        <w:rPr>
          <w:rFonts w:ascii="Times New Roman" w:hAnsi="Times New Roman"/>
          <w:color w:val="auto"/>
          <w:highlight w:val="none"/>
          <w:u w:val="single"/>
          <w:shd w:val="clear" w:color="auto" w:fill="auto"/>
        </w:rPr>
        <w:t xml:space="preserve">                              </w:t>
      </w:r>
      <w:r/>
    </w:p>
    <w:p>
      <w:pPr>
        <w:pStyle w:val="824"/>
        <w:jc w:val="both"/>
        <w:spacing w:beforeAutospacing="0" w:afterAutospacing="0"/>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          被授权人联系电话：（手机）</w:t>
      </w:r>
      <w:r>
        <w:rPr>
          <w:rFonts w:ascii="Times New Roman" w:hAnsi="Times New Roman"/>
          <w:color w:val="auto"/>
          <w:highlight w:val="none"/>
          <w:u w:val="single"/>
          <w:shd w:val="clear" w:color="auto" w:fill="auto"/>
        </w:rPr>
        <w:t xml:space="preserve">                          </w:t>
      </w:r>
      <w:r/>
    </w:p>
    <w:p>
      <w:pPr>
        <w:pStyle w:val="824"/>
        <w:ind w:firstLine="1200"/>
        <w:jc w:val="both"/>
        <w:spacing w:beforeAutospacing="0" w:afterAutospacing="0"/>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授权单位名称：</w:t>
      </w:r>
      <w:r>
        <w:rPr>
          <w:rFonts w:ascii="Times New Roman" w:hAnsi="Times New Roman"/>
          <w:color w:val="auto"/>
          <w:highlight w:val="none"/>
          <w:u w:val="single"/>
          <w:shd w:val="clear" w:color="auto" w:fill="auto"/>
        </w:rPr>
        <w:t xml:space="preserve">（加盖CA电子公章）</w:t>
      </w:r>
      <w:r/>
    </w:p>
    <w:p>
      <w:pPr>
        <w:pStyle w:val="824"/>
        <w:ind w:firstLine="480"/>
        <w:jc w:val="both"/>
        <w:spacing w:beforeAutospacing="0" w:afterAutospacing="0"/>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      单位地址：</w:t>
      </w:r>
      <w:r>
        <w:rPr>
          <w:rFonts w:ascii="Times New Roman" w:hAnsi="Times New Roman"/>
          <w:color w:val="auto"/>
          <w:highlight w:val="none"/>
          <w:u w:val="single"/>
          <w:shd w:val="clear" w:color="auto" w:fill="auto"/>
        </w:rPr>
        <w:t xml:space="preserve">                                         </w:t>
      </w:r>
      <w:r/>
    </w:p>
    <w:p>
      <w:pPr>
        <w:pStyle w:val="824"/>
        <w:ind w:firstLine="480"/>
        <w:jc w:val="both"/>
        <w:spacing w:beforeAutospacing="0" w:afterAutospacing="0"/>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      日期：</w:t>
      </w:r>
      <w:bookmarkStart w:id="161" w:name="_Hlt26955070"/>
      <w:r/>
      <w:bookmarkStart w:id="162" w:name="_格式3__银行出具的资信证明"/>
      <w:r/>
      <w:bookmarkStart w:id="163" w:name="_Hlt26671380"/>
      <w:r>
        <w:rPr>
          <w:rFonts w:ascii="Times New Roman" w:hAnsi="Times New Roman"/>
          <w:color w:val="auto"/>
          <w:highlight w:val="none"/>
          <w:u w:val="single"/>
          <w:shd w:val="clear" w:color="auto" w:fill="auto"/>
        </w:rPr>
        <w:t xml:space="preserve">                                         </w:t>
      </w:r>
      <w:r/>
    </w:p>
    <w:p>
      <w:pPr>
        <w:pStyle w:val="824"/>
        <w:ind w:firstLine="480"/>
        <w:jc w:val="both"/>
        <w:spacing w:beforeAutospacing="0" w:afterAutospacing="0"/>
        <w:tabs>
          <w:tab w:val="left" w:pos="360" w:leader="none"/>
        </w:tabs>
        <w:rPr>
          <w:color w:val="auto"/>
          <w:highlight w:val="none"/>
          <w:shd w:val="clear" w:color="auto" w:fill="auto"/>
        </w:rPr>
      </w:pPr>
      <w:r>
        <w:rPr>
          <w:color w:val="auto"/>
          <w:highlight w:val="none"/>
          <w:shd w:val="clear" w:color="auto" w:fill="auto"/>
        </w:rPr>
        <w:t xml:space="preserve"> </w:t>
      </w:r>
      <w:r/>
    </w:p>
    <w:p>
      <w:pPr>
        <w:pStyle w:val="824"/>
        <w:ind w:firstLine="480"/>
        <w:jc w:val="both"/>
        <w:spacing w:beforeAutospacing="0" w:afterAutospacing="0"/>
        <w:tabs>
          <w:tab w:val="left" w:pos="360" w:leader="none"/>
        </w:tabs>
        <w:rPr>
          <w:color w:val="auto"/>
          <w:highlight w:val="none"/>
          <w:shd w:val="clear" w:color="auto" w:fill="auto"/>
        </w:rPr>
      </w:pPr>
      <w:r>
        <w:rPr>
          <w:color w:val="auto"/>
          <w:highlight w:val="none"/>
          <w:shd w:val="clear" w:color="auto" w:fill="auto"/>
        </w:rPr>
        <w:t xml:space="preserve"> </w:t>
      </w:r>
      <w:r/>
    </w:p>
    <w:p>
      <w:pPr>
        <w:pStyle w:val="824"/>
        <w:ind w:firstLine="42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24"/>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24"/>
        <w:jc w:val="both"/>
        <w:keepLines/>
        <w:keepNext/>
        <w:spacing w:before="260" w:beforeAutospacing="0" w:after="260" w:afterAutospacing="0" w:line="415" w:lineRule="auto"/>
        <w:rPr>
          <w:rFonts w:hint="eastAsia" w:ascii="黑体" w:hAnsi="宋体" w:eastAsia="黑体" w:cs="黑体"/>
          <w:b/>
          <w:i/>
          <w:color w:val="auto"/>
          <w:sz w:val="32"/>
          <w:szCs w:val="32"/>
          <w:highlight w:val="none"/>
          <w:u w:val="single"/>
          <w:shd w:val="clear" w:color="auto" w:fill="auto"/>
        </w:rPr>
      </w:pPr>
      <w:r>
        <w:rPr>
          <w:rFonts w:hint="eastAsia" w:ascii="黑体" w:hAnsi="宋体" w:eastAsia="黑体" w:cs="黑体"/>
          <w:b/>
          <w:i/>
          <w:color w:val="auto"/>
          <w:sz w:val="32"/>
          <w:szCs w:val="32"/>
          <w:highlight w:val="none"/>
          <w:u w:val="single"/>
          <w:shd w:val="clear" w:color="auto" w:fill="auto"/>
        </w:rPr>
      </w:r>
      <w:r/>
    </w:p>
    <w:p>
      <w:pPr>
        <w:pStyle w:val="824"/>
        <w:jc w:val="both"/>
        <w:keepLines/>
        <w:keepNext/>
        <w:spacing w:beforeAutospacing="0" w:afterAutospacing="0" w:line="240" w:lineRule="auto"/>
        <w:rPr>
          <w:rFonts w:hint="eastAsia" w:ascii="黑体" w:hAnsi="宋体" w:eastAsia="黑体" w:cs="黑体"/>
          <w:b/>
          <w:i/>
          <w:color w:val="auto"/>
          <w:sz w:val="32"/>
          <w:szCs w:val="32"/>
          <w:highlight w:val="none"/>
          <w:u w:val="single"/>
          <w:shd w:val="clear" w:color="auto" w:fill="auto"/>
        </w:rPr>
      </w:pPr>
      <w:r>
        <w:rPr>
          <w:rFonts w:hint="eastAsia" w:ascii="黑体" w:hAnsi="宋体" w:eastAsia="黑体" w:cs="黑体"/>
          <w:b/>
          <w:i/>
          <w:color w:val="auto"/>
          <w:sz w:val="32"/>
          <w:szCs w:val="32"/>
          <w:highlight w:val="none"/>
          <w:u w:val="single"/>
          <w:shd w:val="clear" w:color="auto" w:fill="auto"/>
        </w:rPr>
      </w:r>
      <w:r/>
    </w:p>
    <w:p>
      <w:pPr>
        <w:pStyle w:val="824"/>
        <w:jc w:val="both"/>
        <w:keepLines/>
        <w:keepNext/>
        <w:spacing w:beforeAutospacing="0" w:afterAutospacing="0" w:line="240" w:lineRule="auto"/>
        <w:rPr>
          <w:rFonts w:hint="eastAsia" w:ascii="黑体" w:hAnsi="宋体" w:eastAsia="黑体" w:cs="黑体"/>
          <w:b/>
          <w:i/>
          <w:color w:val="auto"/>
          <w:sz w:val="32"/>
          <w:szCs w:val="32"/>
          <w:highlight w:val="none"/>
          <w:u w:val="single"/>
          <w:shd w:val="clear" w:color="auto" w:fill="auto"/>
        </w:rPr>
      </w:pPr>
      <w:r>
        <w:rPr>
          <w:rFonts w:hint="eastAsia" w:ascii="黑体" w:hAnsi="宋体" w:eastAsia="黑体" w:cs="黑体"/>
          <w:b/>
          <w:i/>
          <w:color w:val="auto"/>
          <w:sz w:val="32"/>
          <w:szCs w:val="32"/>
          <w:highlight w:val="none"/>
          <w:u w:val="single"/>
          <w:shd w:val="clear" w:color="auto" w:fill="auto"/>
        </w:rPr>
      </w:r>
      <w:r/>
    </w:p>
    <w:p>
      <w:pPr>
        <w:pStyle w:val="824"/>
        <w:jc w:val="both"/>
        <w:keepLines/>
        <w:keepNext/>
        <w:spacing w:beforeAutospacing="0" w:afterAutospacing="0" w:line="240" w:lineRule="auto"/>
        <w:rPr>
          <w:rFonts w:hint="eastAsia" w:ascii="黑体" w:hAnsi="宋体" w:eastAsia="黑体" w:cs="黑体"/>
          <w:b/>
          <w:i/>
          <w:color w:val="auto"/>
          <w:sz w:val="32"/>
          <w:szCs w:val="32"/>
          <w:highlight w:val="none"/>
          <w:u w:val="single"/>
          <w:shd w:val="clear" w:color="auto" w:fill="auto"/>
        </w:rPr>
      </w:pPr>
      <w:r>
        <w:rPr>
          <w:rFonts w:hint="eastAsia" w:ascii="黑体" w:hAnsi="宋体" w:eastAsia="黑体" w:cs="黑体"/>
          <w:b/>
          <w:i/>
          <w:color w:val="auto"/>
          <w:sz w:val="32"/>
          <w:szCs w:val="32"/>
          <w:highlight w:val="none"/>
          <w:u w:val="single"/>
          <w:shd w:val="clear" w:color="auto" w:fill="auto"/>
        </w:rPr>
      </w:r>
      <w:r/>
    </w:p>
    <w:p>
      <w:pPr>
        <w:pStyle w:val="824"/>
        <w:jc w:val="both"/>
        <w:keepLines/>
        <w:keepNext/>
        <w:spacing w:beforeAutospacing="0" w:afterAutospacing="0" w:line="240" w:lineRule="auto"/>
        <w:rPr>
          <w:rFonts w:hint="eastAsia" w:ascii="黑体" w:hAnsi="宋体" w:eastAsia="黑体" w:cs="黑体"/>
          <w:b/>
          <w:i/>
          <w:color w:val="auto"/>
          <w:sz w:val="32"/>
          <w:szCs w:val="32"/>
          <w:highlight w:val="none"/>
          <w:u w:val="single"/>
          <w:shd w:val="clear" w:color="auto" w:fill="auto"/>
        </w:rPr>
      </w:pPr>
      <w:r>
        <w:rPr>
          <w:rFonts w:hint="eastAsia" w:ascii="黑体" w:hAnsi="宋体" w:eastAsia="黑体" w:cs="黑体"/>
          <w:b/>
          <w:i/>
          <w:color w:val="auto"/>
          <w:sz w:val="32"/>
          <w:szCs w:val="32"/>
          <w:highlight w:val="none"/>
          <w:u w:val="single"/>
          <w:shd w:val="clear" w:color="auto" w:fill="auto"/>
        </w:rPr>
      </w:r>
      <w:r/>
    </w:p>
    <w:p>
      <w:pPr>
        <w:pStyle w:val="824"/>
        <w:jc w:val="both"/>
        <w:keepLines/>
        <w:keepNext/>
        <w:spacing w:beforeAutospacing="0" w:afterAutospacing="0" w:line="240" w:lineRule="auto"/>
        <w:rPr>
          <w:rFonts w:hint="eastAsia" w:ascii="黑体" w:hAnsi="宋体" w:eastAsia="黑体" w:cs="黑体"/>
          <w:b/>
          <w:i/>
          <w:color w:val="auto"/>
          <w:sz w:val="32"/>
          <w:szCs w:val="32"/>
          <w:highlight w:val="none"/>
          <w:u w:val="single"/>
          <w:shd w:val="clear" w:color="auto" w:fill="auto"/>
        </w:rPr>
      </w:pPr>
      <w:r>
        <w:rPr>
          <w:rFonts w:hint="eastAsia" w:ascii="黑体" w:hAnsi="宋体" w:eastAsia="黑体" w:cs="黑体"/>
          <w:b/>
          <w:i/>
          <w:color w:val="auto"/>
          <w:sz w:val="32"/>
          <w:szCs w:val="32"/>
          <w:highlight w:val="none"/>
          <w:u w:val="single"/>
          <w:shd w:val="clear" w:color="auto" w:fill="auto"/>
        </w:rPr>
      </w:r>
      <w:r/>
    </w:p>
    <w:p>
      <w:pPr>
        <w:pStyle w:val="824"/>
        <w:jc w:val="both"/>
        <w:keepLines/>
        <w:keepNext/>
        <w:spacing w:beforeAutospacing="0" w:afterAutospacing="0" w:line="240" w:lineRule="auto"/>
        <w:rPr>
          <w:rFonts w:hint="eastAsia" w:ascii="黑体" w:hAnsi="宋体" w:eastAsia="黑体" w:cs="黑体"/>
          <w:b/>
          <w:i/>
          <w:color w:val="auto"/>
          <w:sz w:val="32"/>
          <w:szCs w:val="32"/>
          <w:highlight w:val="none"/>
          <w:u w:val="single"/>
          <w:shd w:val="clear" w:color="auto" w:fill="auto"/>
        </w:rPr>
      </w:pPr>
      <w:r>
        <w:rPr>
          <w:rFonts w:hint="eastAsia" w:ascii="黑体" w:hAnsi="宋体" w:eastAsia="黑体" w:cs="黑体"/>
          <w:b/>
          <w:i/>
          <w:color w:val="auto"/>
          <w:sz w:val="32"/>
          <w:szCs w:val="32"/>
          <w:highlight w:val="none"/>
          <w:u w:val="single"/>
          <w:shd w:val="clear" w:color="auto" w:fill="auto"/>
        </w:rPr>
      </w:r>
      <w:r/>
    </w:p>
    <w:p>
      <w:pPr>
        <w:rPr>
          <w:rFonts w:hint="eastAsia"/>
        </w:rPr>
      </w:pPr>
      <w:r>
        <w:rPr>
          <w:rFonts w:hint="eastAsia"/>
        </w:rPr>
      </w:r>
      <w:r/>
    </w:p>
    <w:p>
      <w:pPr>
        <w:rPr>
          <w:rFonts w:hint="eastAsia"/>
        </w:rPr>
      </w:pPr>
      <w:r>
        <w:rPr>
          <w:rFonts w:hint="eastAsia"/>
        </w:rPr>
      </w:r>
      <w:r/>
    </w:p>
    <w:p>
      <w:pPr>
        <w:pStyle w:val="824"/>
        <w:jc w:val="both"/>
        <w:keepLines/>
        <w:keepNext/>
        <w:spacing w:before="260" w:beforeAutospacing="0" w:after="260" w:afterAutospacing="0" w:line="415" w:lineRule="auto"/>
        <w:rPr>
          <w:rFonts w:hint="eastAsia" w:ascii="黑体" w:hAnsi="宋体" w:eastAsia="黑体" w:cs="黑体"/>
          <w:b/>
          <w:i/>
          <w:color w:val="auto"/>
          <w:sz w:val="32"/>
          <w:szCs w:val="32"/>
          <w:highlight w:val="none"/>
          <w:u w:val="single"/>
          <w:shd w:val="clear" w:color="auto" w:fill="auto"/>
        </w:rPr>
      </w:pPr>
      <w:r>
        <w:rPr>
          <w:rFonts w:hint="eastAsia" w:ascii="黑体" w:hAnsi="宋体" w:eastAsia="黑体" w:cs="黑体"/>
          <w:b/>
          <w:i/>
          <w:color w:val="auto"/>
          <w:sz w:val="32"/>
          <w:szCs w:val="32"/>
          <w:highlight w:val="none"/>
          <w:u w:val="single"/>
          <w:shd w:val="clear" w:color="auto" w:fill="auto"/>
        </w:rPr>
      </w:r>
      <w:r/>
    </w:p>
    <w:p>
      <w:pPr>
        <w:pStyle w:val="824"/>
        <w:jc w:val="both"/>
        <w:keepLines/>
        <w:keepNext/>
        <w:spacing w:before="260" w:beforeAutospacing="0" w:after="260" w:afterAutospacing="0" w:line="415" w:lineRule="auto"/>
        <w:rPr>
          <w:rFonts w:hint="eastAsia" w:ascii="黑体" w:hAnsi="宋体" w:eastAsia="黑体" w:cs="黑体"/>
          <w:b/>
          <w:i/>
          <w:color w:val="auto"/>
          <w:sz w:val="32"/>
          <w:szCs w:val="32"/>
          <w:highlight w:val="none"/>
          <w:u w:val="single"/>
          <w:shd w:val="clear" w:color="auto" w:fill="auto"/>
        </w:rPr>
      </w:pPr>
      <w:r>
        <w:rPr>
          <w:rFonts w:hint="eastAsia" w:ascii="黑体" w:hAnsi="宋体" w:eastAsia="黑体" w:cs="黑体"/>
          <w:b/>
          <w:i/>
          <w:color w:val="auto"/>
          <w:sz w:val="32"/>
          <w:szCs w:val="32"/>
          <w:highlight w:val="none"/>
          <w:u w:val="single"/>
          <w:shd w:val="clear" w:color="auto" w:fill="auto"/>
        </w:rPr>
      </w:r>
      <w:r/>
    </w:p>
    <w:p>
      <w:pPr>
        <w:rPr>
          <w:rFonts w:hint="eastAsia"/>
        </w:rPr>
      </w:pPr>
      <w:r>
        <w:rPr>
          <w:rFonts w:hint="eastAsia"/>
        </w:rPr>
      </w:r>
      <w:r/>
    </w:p>
    <w:p>
      <w:pPr>
        <w:pStyle w:val="824"/>
        <w:ind w:firstLine="2570"/>
        <w:jc w:val="both"/>
        <w:keepLines/>
        <w:keepNext/>
        <w:spacing w:before="260" w:beforeAutospacing="0" w:after="260" w:afterAutospacing="0" w:line="415" w:lineRule="auto"/>
        <w:rPr>
          <w:color w:val="auto"/>
          <w:highlight w:val="none"/>
          <w:shd w:val="clear" w:color="auto" w:fill="auto"/>
        </w:rPr>
      </w:pPr>
      <w:r>
        <w:rPr>
          <w:rFonts w:hint="eastAsia" w:ascii="黑体" w:hAnsi="宋体" w:eastAsia="黑体" w:cs="黑体"/>
          <w:b/>
          <w:i/>
          <w:color w:val="auto"/>
          <w:sz w:val="32"/>
          <w:szCs w:val="32"/>
          <w:highlight w:val="none"/>
          <w:u w:val="single"/>
          <w:shd w:val="clear" w:color="auto" w:fill="auto"/>
        </w:rPr>
        <w:t xml:space="preserve">八、单一来源响应函</w:t>
      </w:r>
      <w:r/>
    </w:p>
    <w:p>
      <w:pPr>
        <w:pStyle w:val="824"/>
        <w:spacing w:beforeAutospacing="0" w:afterAutospacing="0" w:line="0" w:lineRule="atLeast"/>
        <w:rPr>
          <w:rFonts w:hint="default" w:eastAsia="宋体"/>
          <w:color w:val="auto"/>
          <w:highlight w:val="red"/>
          <w:shd w:val="clear" w:color="auto" w:fill="auto"/>
          <w:lang w:val="en-US" w:eastAsia="zh-CN"/>
        </w:rPr>
      </w:pPr>
      <w:r>
        <w:rPr>
          <w:rFonts w:hint="eastAsia" w:ascii="宋体" w:hAnsi="宋体" w:eastAsia="宋体" w:cs="宋体"/>
          <w:color w:val="auto"/>
          <w:highlight w:val="none"/>
          <w:shd w:val="clear" w:color="auto" w:fill="auto"/>
        </w:rPr>
        <w:t xml:space="preserve">致：</w:t>
      </w:r>
      <w:r>
        <w:rPr>
          <w:rFonts w:hint="eastAsia" w:ascii="宋体" w:hAnsi="宋体" w:eastAsia="宋体" w:cs="宋体"/>
          <w:color w:val="auto"/>
          <w:highlight w:val="red"/>
          <w:shd w:val="clear" w:color="auto" w:fill="auto"/>
          <w:lang w:val="en-US" w:eastAsia="zh-CN"/>
        </w:rPr>
        <w:t xml:space="preserve">响水县财政局</w:t>
      </w:r>
      <w:r/>
    </w:p>
    <w:p>
      <w:pPr>
        <w:pStyle w:val="824"/>
        <w:ind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根据贵方的JSZC-320900-***</w:t>
      </w:r>
      <w:r>
        <w:rPr>
          <w:rFonts w:hint="eastAsia" w:ascii="宋体" w:hAnsi="宋体" w:eastAsia="宋体" w:cs="宋体"/>
          <w:b/>
          <w:color w:val="auto"/>
          <w:sz w:val="36"/>
          <w:szCs w:val="36"/>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号采购文件，正式授权下述签字人______(姓名)代表我方______________（供应商的名称），全权处理本次项目单一来源采购的有关事宜。</w:t>
      </w:r>
      <w:r/>
    </w:p>
    <w:p>
      <w:pPr>
        <w:pStyle w:val="824"/>
        <w:ind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据此函，__________签字人兹宣布同意如下：</w:t>
      </w:r>
      <w:r/>
    </w:p>
    <w:p>
      <w:pPr>
        <w:pStyle w:val="824"/>
        <w:ind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1.按采购文件规定的各项要求，向买方提供所需货物、服务（包含与货物相关的服务及与服务相关的货物）。</w:t>
      </w:r>
      <w:r/>
    </w:p>
    <w:p>
      <w:pPr>
        <w:pStyle w:val="824"/>
        <w:ind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2.我们已详细审核全部采购文件及其有效补充文件，我们知道必须放弃提出含糊不清或误解问题的权利。</w:t>
      </w:r>
      <w:r/>
    </w:p>
    <w:p>
      <w:pPr>
        <w:pStyle w:val="824"/>
        <w:ind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3.我们同意从规定的单一来源协商时间起遵循本响应文件，并在规定的单一来源协商有效期期满之前均具有约束力。</w:t>
      </w:r>
      <w:r/>
    </w:p>
    <w:p>
      <w:pPr>
        <w:pStyle w:val="824"/>
        <w:ind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4.同意向贵方提供贵方可能另外要求的与单一来源采购有关的任何证据或资料，并保证我方已提供和将要提供的文件是真实的、准确的。</w:t>
      </w:r>
      <w:r/>
    </w:p>
    <w:p>
      <w:pPr>
        <w:pStyle w:val="824"/>
        <w:ind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5.一旦我方成交,我方将根据采购文件的规定，严格履行合同的责任和义务,并保证在采购文件规定的时间完成项目，交付买方验收、使用。</w:t>
      </w:r>
      <w:r/>
    </w:p>
    <w:p>
      <w:pPr>
        <w:pStyle w:val="824"/>
        <w:ind w:left="425"/>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6.我方与本次单一来源采购有关的正式通讯地址为：</w:t>
      </w:r>
      <w:r/>
    </w:p>
    <w:p>
      <w:pPr>
        <w:pStyle w:val="824"/>
        <w:ind w:left="420"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地          址：</w:t>
      </w:r>
      <w:r/>
    </w:p>
    <w:p>
      <w:pPr>
        <w:pStyle w:val="824"/>
        <w:ind w:left="420"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邮          编：</w:t>
      </w:r>
      <w:r/>
    </w:p>
    <w:p>
      <w:pPr>
        <w:pStyle w:val="824"/>
        <w:ind w:left="420"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电          话：</w:t>
      </w:r>
      <w:r/>
    </w:p>
    <w:p>
      <w:pPr>
        <w:pStyle w:val="824"/>
        <w:ind w:left="420"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传          真：</w:t>
      </w:r>
      <w:r/>
    </w:p>
    <w:p>
      <w:pPr>
        <w:pStyle w:val="824"/>
        <w:ind w:left="420"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供应商开户行：</w:t>
      </w:r>
      <w:r/>
    </w:p>
    <w:p>
      <w:pPr>
        <w:pStyle w:val="824"/>
        <w:ind w:left="420"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账          号： </w:t>
      </w:r>
      <w:r/>
    </w:p>
    <w:p>
      <w:pPr>
        <w:pStyle w:val="824"/>
        <w:ind w:left="420"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日           期：________年____月____日</w:t>
      </w:r>
      <w:r/>
    </w:p>
    <w:p>
      <w:pPr>
        <w:pStyle w:val="824"/>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24"/>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24"/>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24"/>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24"/>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24"/>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824"/>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824"/>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824"/>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824"/>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824"/>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824"/>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824"/>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824"/>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824"/>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824"/>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824"/>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824"/>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824"/>
        <w:ind w:firstLine="321"/>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24"/>
        <w:jc w:val="center"/>
        <w:spacing w:beforeAutospacing="0" w:afterAutospacing="0" w:line="0" w:lineRule="atLeast"/>
        <w:rPr>
          <w:color w:val="auto"/>
          <w:highlight w:val="none"/>
          <w:shd w:val="clear" w:color="auto" w:fill="auto"/>
        </w:rPr>
      </w:pPr>
      <w:r>
        <w:rPr>
          <w:rFonts w:hint="eastAsia" w:ascii="黑体" w:hAnsi="宋体" w:eastAsia="黑体" w:cs="黑体"/>
          <w:b/>
          <w:color w:val="auto"/>
          <w:sz w:val="32"/>
          <w:szCs w:val="32"/>
          <w:highlight w:val="none"/>
          <w:shd w:val="clear" w:color="auto" w:fill="auto"/>
        </w:rPr>
        <w:t xml:space="preserve">九、联合体协议（参考格式）（分包号：**）</w:t>
      </w:r>
      <w:r/>
    </w:p>
    <w:p>
      <w:pPr>
        <w:pStyle w:val="824"/>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（联合体中各供应商全称）在此达成以下协议：</w:t>
      </w:r>
      <w:r/>
    </w:p>
    <w:p>
      <w:pPr>
        <w:pStyle w:val="824"/>
        <w:ind w:firstLine="645"/>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1、我们</w:t>
      </w:r>
      <w:r>
        <w:rPr>
          <w:rFonts w:hint="eastAsia" w:ascii="宋体" w:hAnsi="宋体" w:eastAsia="宋体" w:cs="宋体"/>
          <w:color w:val="auto"/>
          <w:highlight w:val="none"/>
          <w:u w:val="single"/>
          <w:shd w:val="clear" w:color="auto" w:fill="auto"/>
        </w:rPr>
        <w:t xml:space="preserve"> （供应商1），（供应商2） ，……</w:t>
      </w:r>
      <w:r>
        <w:rPr>
          <w:rFonts w:hint="eastAsia" w:ascii="宋体" w:hAnsi="宋体" w:eastAsia="宋体" w:cs="宋体"/>
          <w:color w:val="auto"/>
          <w:highlight w:val="none"/>
          <w:shd w:val="clear" w:color="auto" w:fill="auto"/>
        </w:rPr>
        <w:t xml:space="preserve">自愿组成联合体，参加</w:t>
      </w:r>
      <w:r>
        <w:rPr>
          <w:rFonts w:hint="eastAsia" w:ascii="宋体" w:hAnsi="宋体" w:eastAsia="宋体" w:cs="宋体"/>
          <w:color w:val="auto"/>
          <w:highlight w:val="none"/>
          <w:shd w:val="clear" w:color="auto" w:fill="auto"/>
          <w:lang w:eastAsia="zh-CN"/>
        </w:rPr>
        <w:t xml:space="preserve">响水县公共资源交易中心（响水县政府采购中心）</w:t>
      </w:r>
      <w:r>
        <w:rPr>
          <w:rFonts w:hint="eastAsia" w:ascii="宋体" w:hAnsi="宋体" w:eastAsia="宋体" w:cs="宋体"/>
          <w:color w:val="auto"/>
          <w:highlight w:val="none"/>
          <w:shd w:val="clear" w:color="auto" w:fill="auto"/>
        </w:rPr>
        <w:t xml:space="preserve">组织的采购编号为</w:t>
      </w:r>
      <w:r>
        <w:rPr>
          <w:rFonts w:hint="eastAsia" w:ascii="宋体" w:hAnsi="宋体" w:eastAsia="宋体" w:cs="宋体"/>
          <w:color w:val="auto"/>
          <w:highlight w:val="none"/>
          <w:u w:val="single"/>
          <w:shd w:val="clear" w:color="auto" w:fill="auto"/>
        </w:rPr>
        <w:t xml:space="preserve">（编号全称），（项目全称）</w:t>
      </w:r>
      <w:r>
        <w:rPr>
          <w:rFonts w:hint="eastAsia" w:ascii="宋体" w:hAnsi="宋体" w:eastAsia="宋体" w:cs="宋体"/>
          <w:color w:val="auto"/>
          <w:highlight w:val="none"/>
          <w:shd w:val="clear" w:color="auto" w:fill="auto"/>
        </w:rPr>
        <w:t xml:space="preserve">项目（分包号：**）的政府采购活动，我联合体指定</w:t>
      </w:r>
      <w:r>
        <w:rPr>
          <w:rFonts w:hint="eastAsia" w:ascii="宋体" w:hAnsi="宋体" w:eastAsia="宋体" w:cs="宋体"/>
          <w:color w:val="auto"/>
          <w:highlight w:val="none"/>
          <w:u w:val="single"/>
          <w:shd w:val="clear" w:color="auto" w:fill="auto"/>
        </w:rPr>
        <w:t xml:space="preserve">（供应商*）</w:t>
      </w:r>
      <w:r>
        <w:rPr>
          <w:rFonts w:hint="eastAsia" w:ascii="宋体" w:hAnsi="宋体" w:eastAsia="宋体" w:cs="宋体"/>
          <w:color w:val="auto"/>
          <w:highlight w:val="none"/>
          <w:shd w:val="clear" w:color="auto" w:fill="auto"/>
        </w:rPr>
        <w:t xml:space="preserve">为牵头单位（牵头单位必须为联合体成员）。</w:t>
      </w:r>
      <w:r/>
    </w:p>
    <w:p>
      <w:pPr>
        <w:pStyle w:val="824"/>
        <w:ind w:firstLine="645"/>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824"/>
        <w:ind w:firstLine="645"/>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3、其中</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（小型、微型企业/残疾人福利性单位/监狱企业全称）为</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（小型、微型企业/残疾人福利性单位/监狱企业）企业，且我们约定该公司/单位所承担的合同金额将占本项目合同总金额的</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w:t>
      </w:r>
      <w:r/>
    </w:p>
    <w:p>
      <w:pPr>
        <w:pStyle w:val="824"/>
        <w:ind w:firstLine="645"/>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24"/>
        <w:ind w:firstLine="645"/>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备注：本招标文件中要求加盖CA电子签章的地方，仅需加盖牵头单位的CA电子签章。</w:t>
      </w:r>
      <w:r/>
    </w:p>
    <w:p>
      <w:pPr>
        <w:pStyle w:val="824"/>
        <w:ind w:firstLine="645"/>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24"/>
        <w:ind w:firstLine="645"/>
        <w:jc w:val="right"/>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联合体中各供应商全称（公章）：     </w:t>
      </w:r>
      <w:r/>
    </w:p>
    <w:p>
      <w:pPr>
        <w:pStyle w:val="824"/>
        <w:ind w:firstLine="645"/>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                                                          日期：</w:t>
      </w:r>
      <w:r/>
    </w:p>
    <w:p>
      <w:pPr>
        <w:pStyle w:val="824"/>
        <w:ind w:firstLine="645"/>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24"/>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24"/>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24"/>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24"/>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24"/>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24"/>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824"/>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824"/>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824"/>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824"/>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824"/>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824"/>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824"/>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824"/>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824"/>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824"/>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824"/>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824"/>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824"/>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824"/>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824"/>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824"/>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824"/>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24"/>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24"/>
        <w:ind w:firstLine="321"/>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824"/>
        <w:jc w:val="center"/>
        <w:spacing w:beforeAutospacing="0" w:afterAutospacing="0"/>
        <w:rPr>
          <w:color w:val="auto"/>
          <w:highlight w:val="none"/>
          <w:shd w:val="clear" w:color="auto" w:fill="auto"/>
        </w:rPr>
      </w:pPr>
      <w:r>
        <w:rPr>
          <w:rFonts w:hint="eastAsia" w:ascii="宋体" w:hAnsi="宋体" w:eastAsia="宋体" w:cs="宋体"/>
          <w:b/>
          <w:color w:val="auto"/>
          <w:sz w:val="32"/>
          <w:szCs w:val="32"/>
          <w:highlight w:val="none"/>
          <w:shd w:val="clear" w:color="auto" w:fill="auto"/>
        </w:rPr>
        <w:t xml:space="preserve">十、分项报价表（服务类）</w:t>
      </w:r>
      <w:r/>
    </w:p>
    <w:tbl>
      <w:tblPr>
        <w:tblStyle w:val="818"/>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824"/>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24"/>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24"/>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24"/>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24"/>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24"/>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24"/>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ascii="宋体"/>
                <w:color w:val="auto"/>
                <w:sz w:val="24"/>
                <w:highlight w:val="none"/>
                <w:shd w:val="clear" w:color="auto" w:fill="auto"/>
              </w:rPr>
            </w:pPr>
            <w:r>
              <w:rPr>
                <w:rFonts w:ascii="宋体"/>
                <w:color w:val="auto"/>
                <w:sz w:val="24"/>
                <w:highlight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24"/>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24"/>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24"/>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24"/>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24"/>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分项</w:t>
            </w:r>
            <w:r/>
          </w:p>
          <w:p>
            <w:pPr>
              <w:pStyle w:val="824"/>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24"/>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分项</w:t>
            </w:r>
            <w:r/>
          </w:p>
          <w:p>
            <w:pPr>
              <w:pStyle w:val="824"/>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24"/>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24"/>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24"/>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24"/>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24"/>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24"/>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24"/>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24"/>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24"/>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24"/>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24"/>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24"/>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24"/>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24"/>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24"/>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24"/>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24"/>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24"/>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24"/>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24"/>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24"/>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24"/>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24"/>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24"/>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24"/>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24"/>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24"/>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24"/>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824"/>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24"/>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r>
    </w:tbl>
    <w:p>
      <w:pPr>
        <w:pStyle w:val="824"/>
        <w:jc w:val="both"/>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备注： 报价采用总承包方式，供应商的报价应包括采购人需求的服务（包含与服务相关的货物）价格、质量保证费用、培训费用及售后服务费用，项目在指定地点、环境交付、安装、调试、验收所需费用和所有相关税金费用及为完成整个项目所产生的</w:t>
      </w:r>
      <w:r>
        <w:rPr>
          <w:rFonts w:hint="eastAsia" w:ascii="宋体" w:hAnsi="宋体" w:eastAsia="宋体" w:cs="宋体"/>
          <w:color w:val="auto"/>
          <w:highlight w:val="none"/>
          <w:shd w:val="clear" w:color="auto" w:fill="auto"/>
          <w:lang w:eastAsia="zh-CN"/>
        </w:rPr>
        <w:t xml:space="preserve">其他所有</w:t>
      </w:r>
      <w:r>
        <w:rPr>
          <w:rFonts w:hint="eastAsia" w:ascii="宋体" w:hAnsi="宋体" w:eastAsia="宋体" w:cs="宋体"/>
          <w:color w:val="auto"/>
          <w:highlight w:val="none"/>
          <w:shd w:val="clear" w:color="auto" w:fill="auto"/>
        </w:rPr>
        <w:t xml:space="preserve">费用。</w:t>
      </w:r>
      <w:r/>
    </w:p>
    <w:p>
      <w:pPr>
        <w:pStyle w:val="824"/>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24"/>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24"/>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24"/>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24"/>
        <w:jc w:val="both"/>
        <w:spacing w:beforeAutospacing="0" w:afterAutospacing="0"/>
        <w:rPr>
          <w:color w:val="auto"/>
          <w:highlight w:val="none"/>
          <w:shd w:val="clear" w:color="auto" w:fill="auto"/>
        </w:rPr>
      </w:pPr>
      <w:r>
        <w:rPr>
          <w:color w:val="auto"/>
          <w:highlight w:val="none"/>
          <w:shd w:val="clear" w:color="auto" w:fill="auto"/>
        </w:rPr>
      </w:r>
      <w:r/>
    </w:p>
    <w:p>
      <w:pPr>
        <w:pStyle w:val="824"/>
        <w:jc w:val="both"/>
        <w:spacing w:beforeAutospacing="0" w:afterAutospacing="0"/>
        <w:rPr>
          <w:color w:val="auto"/>
          <w:highlight w:val="none"/>
          <w:shd w:val="clear" w:color="auto" w:fill="auto"/>
        </w:rPr>
      </w:pPr>
      <w:r>
        <w:rPr>
          <w:color w:val="auto"/>
          <w:highlight w:val="none"/>
          <w:shd w:val="clear" w:color="auto" w:fill="auto"/>
        </w:rPr>
      </w:r>
      <w:r/>
    </w:p>
    <w:p>
      <w:pPr>
        <w:pStyle w:val="824"/>
        <w:jc w:val="both"/>
        <w:spacing w:beforeAutospacing="0" w:afterAutospacing="0"/>
        <w:rPr>
          <w:color w:val="auto"/>
          <w:highlight w:val="none"/>
          <w:shd w:val="clear" w:color="auto" w:fill="auto"/>
        </w:rPr>
      </w:pPr>
      <w:r>
        <w:rPr>
          <w:color w:val="auto"/>
          <w:highlight w:val="none"/>
          <w:shd w:val="clear" w:color="auto" w:fill="auto"/>
        </w:rPr>
      </w:r>
      <w:r/>
    </w:p>
    <w:p>
      <w:pPr>
        <w:pStyle w:val="824"/>
        <w:jc w:val="both"/>
        <w:spacing w:beforeAutospacing="0" w:afterAutospacing="0"/>
        <w:rPr>
          <w:color w:val="auto"/>
          <w:highlight w:val="none"/>
          <w:shd w:val="clear" w:color="auto" w:fill="auto"/>
        </w:rPr>
      </w:pPr>
      <w:r>
        <w:rPr>
          <w:color w:val="auto"/>
          <w:highlight w:val="none"/>
          <w:shd w:val="clear" w:color="auto" w:fill="auto"/>
        </w:rPr>
      </w:r>
      <w:r/>
    </w:p>
    <w:p>
      <w:pPr>
        <w:pStyle w:val="824"/>
        <w:jc w:val="both"/>
        <w:spacing w:beforeAutospacing="0" w:afterAutospacing="0"/>
        <w:rPr>
          <w:color w:val="auto"/>
          <w:highlight w:val="none"/>
          <w:shd w:val="clear" w:color="auto" w:fill="auto"/>
        </w:rPr>
      </w:pPr>
      <w:r>
        <w:rPr>
          <w:color w:val="auto"/>
          <w:highlight w:val="none"/>
          <w:shd w:val="clear" w:color="auto" w:fill="auto"/>
        </w:rPr>
      </w:r>
      <w:r/>
    </w:p>
    <w:p>
      <w:pPr>
        <w:pStyle w:val="824"/>
        <w:jc w:val="both"/>
        <w:spacing w:beforeAutospacing="0" w:afterAutospacing="0"/>
        <w:rPr>
          <w:color w:val="auto"/>
          <w:highlight w:val="none"/>
          <w:shd w:val="clear" w:color="auto" w:fill="auto"/>
        </w:rPr>
      </w:pPr>
      <w:r>
        <w:rPr>
          <w:color w:val="auto"/>
          <w:highlight w:val="none"/>
          <w:shd w:val="clear" w:color="auto" w:fill="auto"/>
        </w:rPr>
      </w:r>
      <w:r/>
    </w:p>
    <w:p>
      <w:pPr>
        <w:pStyle w:val="824"/>
        <w:jc w:val="both"/>
        <w:spacing w:beforeAutospacing="0" w:afterAutospacing="0"/>
        <w:rPr>
          <w:color w:val="auto"/>
          <w:highlight w:val="none"/>
          <w:shd w:val="clear" w:color="auto" w:fill="auto"/>
        </w:rPr>
      </w:pPr>
      <w:r>
        <w:rPr>
          <w:color w:val="auto"/>
          <w:highlight w:val="none"/>
          <w:shd w:val="clear" w:color="auto" w:fill="auto"/>
        </w:rPr>
      </w:r>
      <w:r/>
    </w:p>
    <w:p>
      <w:pPr>
        <w:pStyle w:val="824"/>
        <w:jc w:val="both"/>
        <w:spacing w:beforeAutospacing="0" w:afterAutospacing="0"/>
        <w:rPr>
          <w:color w:val="auto"/>
          <w:highlight w:val="none"/>
          <w:shd w:val="clear" w:color="auto" w:fill="auto"/>
        </w:rPr>
      </w:pPr>
      <w:r>
        <w:rPr>
          <w:color w:val="auto"/>
          <w:highlight w:val="none"/>
          <w:shd w:val="clear" w:color="auto" w:fill="auto"/>
        </w:rPr>
      </w:r>
      <w:r/>
    </w:p>
    <w:p>
      <w:pPr>
        <w:pStyle w:val="824"/>
        <w:jc w:val="both"/>
        <w:spacing w:beforeAutospacing="0" w:afterAutospacing="0"/>
        <w:rPr>
          <w:color w:val="auto"/>
          <w:highlight w:val="none"/>
          <w:shd w:val="clear" w:color="auto" w:fill="auto"/>
        </w:rPr>
      </w:pPr>
      <w:r>
        <w:rPr>
          <w:color w:val="auto"/>
          <w:highlight w:val="none"/>
          <w:shd w:val="clear" w:color="auto" w:fill="auto"/>
        </w:rPr>
      </w:r>
      <w:r/>
    </w:p>
    <w:p>
      <w:pPr>
        <w:pStyle w:val="824"/>
        <w:jc w:val="both"/>
        <w:spacing w:beforeAutospacing="0" w:afterAutospacing="0"/>
        <w:rPr>
          <w:color w:val="auto"/>
          <w:highlight w:val="none"/>
          <w:shd w:val="clear" w:color="auto" w:fill="auto"/>
        </w:rPr>
      </w:pPr>
      <w:r>
        <w:rPr>
          <w:color w:val="auto"/>
          <w:highlight w:val="none"/>
          <w:shd w:val="clear" w:color="auto" w:fill="auto"/>
        </w:rPr>
      </w:r>
      <w:r/>
    </w:p>
    <w:p>
      <w:pPr>
        <w:pStyle w:val="824"/>
        <w:jc w:val="both"/>
        <w:spacing w:beforeAutospacing="0" w:afterAutospacing="0"/>
        <w:rPr>
          <w:color w:val="auto"/>
          <w:highlight w:val="none"/>
          <w:shd w:val="clear" w:color="auto" w:fill="auto"/>
        </w:rPr>
      </w:pPr>
      <w:r>
        <w:rPr>
          <w:color w:val="auto"/>
          <w:highlight w:val="none"/>
          <w:shd w:val="clear" w:color="auto" w:fill="auto"/>
        </w:rPr>
      </w:r>
      <w:r/>
    </w:p>
    <w:p>
      <w:pPr>
        <w:pStyle w:val="824"/>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24"/>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24"/>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24"/>
        <w:jc w:val="both"/>
        <w:spacing w:beforeAutospacing="0" w:afterAutospacing="0"/>
        <w:rPr>
          <w:color w:val="auto"/>
          <w:highlight w:val="none"/>
          <w:shd w:val="clear" w:color="auto" w:fill="auto"/>
        </w:rPr>
      </w:pPr>
      <w:r>
        <w:rPr>
          <w:color w:val="auto"/>
          <w:highlight w:val="none"/>
          <w:shd w:val="clear" w:color="auto" w:fill="auto"/>
        </w:rPr>
      </w:r>
      <w:r/>
    </w:p>
    <w:p>
      <w:pPr>
        <w:pStyle w:val="824"/>
        <w:jc w:val="both"/>
        <w:spacing w:beforeAutospacing="0" w:afterAutospacing="0"/>
        <w:rPr>
          <w:color w:val="auto"/>
          <w:highlight w:val="none"/>
          <w:shd w:val="clear" w:color="auto" w:fill="auto"/>
        </w:rPr>
      </w:pPr>
      <w:r>
        <w:rPr>
          <w:color w:val="auto"/>
          <w:highlight w:val="none"/>
          <w:shd w:val="clear" w:color="auto" w:fill="auto"/>
        </w:rPr>
      </w:r>
      <w:r/>
    </w:p>
    <w:p>
      <w:pPr>
        <w:pStyle w:val="824"/>
        <w:jc w:val="both"/>
        <w:spacing w:beforeAutospacing="0" w:afterAutospacing="0"/>
        <w:rPr>
          <w:color w:val="auto"/>
          <w:highlight w:val="none"/>
          <w:shd w:val="clear" w:color="auto" w:fill="auto"/>
        </w:rPr>
      </w:pPr>
      <w:r>
        <w:rPr>
          <w:color w:val="auto"/>
          <w:highlight w:val="none"/>
          <w:shd w:val="clear" w:color="auto" w:fill="auto"/>
        </w:rPr>
      </w:r>
      <w:r/>
    </w:p>
    <w:p>
      <w:pPr>
        <w:pStyle w:val="824"/>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24"/>
        <w:jc w:val="center"/>
        <w:spacing w:beforeAutospacing="0" w:afterAutospacing="0"/>
        <w:rPr>
          <w:rFonts w:hint="eastAsia" w:eastAsia="黑体"/>
          <w:color w:val="auto"/>
          <w:highlight w:val="none"/>
          <w:shd w:val="clear" w:color="auto" w:fill="auto"/>
          <w:lang w:eastAsia="zh-CN"/>
        </w:rPr>
      </w:pPr>
      <w:r>
        <w:rPr>
          <w:rFonts w:hint="eastAsia" w:ascii="黑体" w:hAnsi="宋体" w:eastAsia="黑体" w:cs="黑体"/>
          <w:b/>
          <w:color w:val="auto"/>
          <w:sz w:val="32"/>
          <w:szCs w:val="32"/>
          <w:highlight w:val="none"/>
          <w:shd w:val="clear" w:color="auto" w:fill="auto"/>
        </w:rPr>
        <w:t xml:space="preserve">十一、技术要求响应及偏离表</w:t>
      </w:r>
      <w:r>
        <w:rPr>
          <w:rFonts w:hint="eastAsia" w:ascii="黑体" w:hAnsi="宋体" w:eastAsia="黑体" w:cs="黑体"/>
          <w:b/>
          <w:color w:val="auto"/>
          <w:sz w:val="32"/>
          <w:szCs w:val="32"/>
          <w:highlight w:val="none"/>
          <w:shd w:val="clear" w:color="auto" w:fill="auto"/>
          <w:lang w:val="en-US" w:eastAsia="zh-CN"/>
        </w:rPr>
        <w:t xml:space="preserve"> </w:t>
      </w:r>
      <w:r/>
    </w:p>
    <w:tbl>
      <w:tblPr>
        <w:tblStyle w:val="81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795"/>
        <w:gridCol w:w="2769"/>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24"/>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824"/>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采购文件要求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4"/>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4"/>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4"/>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证明</w:t>
            </w:r>
            <w:r/>
          </w:p>
          <w:p>
            <w:pPr>
              <w:pStyle w:val="824"/>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824"/>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tc>
      </w:tr>
    </w:tbl>
    <w:p>
      <w:pPr>
        <w:pStyle w:val="824"/>
        <w:jc w:val="both"/>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注： 行数不够，可自行添加。</w:t>
      </w:r>
      <w:r/>
    </w:p>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824"/>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24"/>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24"/>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24"/>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24"/>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24"/>
        <w:jc w:val="both"/>
        <w:spacing w:beforeAutospacing="0" w:afterAutospacing="0"/>
        <w:rPr>
          <w:color w:val="auto"/>
          <w:highlight w:val="none"/>
          <w:shd w:val="clear" w:color="auto" w:fill="auto"/>
        </w:rPr>
      </w:pPr>
      <w:r>
        <w:rPr>
          <w:color w:val="auto"/>
          <w:highlight w:val="none"/>
          <w:shd w:val="clear" w:color="auto" w:fill="auto"/>
        </w:rPr>
      </w:r>
      <w:r/>
    </w:p>
    <w:p>
      <w:pPr>
        <w:pStyle w:val="824"/>
        <w:jc w:val="both"/>
        <w:spacing w:beforeAutospacing="0" w:afterAutospacing="0"/>
        <w:rPr>
          <w:color w:val="auto"/>
          <w:highlight w:val="none"/>
          <w:shd w:val="clear" w:color="auto" w:fill="auto"/>
        </w:rPr>
      </w:pPr>
      <w:r>
        <w:rPr>
          <w:color w:val="auto"/>
          <w:highlight w:val="none"/>
          <w:shd w:val="clear" w:color="auto" w:fill="auto"/>
        </w:rPr>
      </w:r>
      <w:r/>
    </w:p>
    <w:p>
      <w:pPr>
        <w:pStyle w:val="824"/>
        <w:jc w:val="both"/>
        <w:spacing w:beforeAutospacing="0" w:afterAutospacing="0"/>
        <w:rPr>
          <w:color w:val="auto"/>
          <w:highlight w:val="none"/>
          <w:shd w:val="clear" w:color="auto" w:fill="auto"/>
        </w:rPr>
      </w:pPr>
      <w:r>
        <w:rPr>
          <w:color w:val="auto"/>
          <w:highlight w:val="none"/>
          <w:shd w:val="clear" w:color="auto" w:fill="auto"/>
        </w:rPr>
      </w:r>
      <w:r/>
    </w:p>
    <w:p>
      <w:pPr>
        <w:pStyle w:val="824"/>
        <w:jc w:val="both"/>
        <w:spacing w:beforeAutospacing="0" w:afterAutospacing="0"/>
        <w:rPr>
          <w:color w:val="auto"/>
          <w:highlight w:val="none"/>
          <w:shd w:val="clear" w:color="auto" w:fill="auto"/>
        </w:rPr>
      </w:pPr>
      <w:r>
        <w:rPr>
          <w:color w:val="auto"/>
          <w:highlight w:val="none"/>
          <w:shd w:val="clear" w:color="auto" w:fill="auto"/>
        </w:rPr>
      </w:r>
      <w:r/>
    </w:p>
    <w:p>
      <w:pPr>
        <w:pStyle w:val="824"/>
        <w:jc w:val="both"/>
        <w:spacing w:beforeAutospacing="0" w:afterAutospacing="0"/>
        <w:rPr>
          <w:color w:val="auto"/>
          <w:highlight w:val="none"/>
          <w:shd w:val="clear" w:color="auto" w:fill="auto"/>
        </w:rPr>
      </w:pPr>
      <w:r>
        <w:rPr>
          <w:color w:val="auto"/>
          <w:highlight w:val="none"/>
          <w:shd w:val="clear" w:color="auto" w:fill="auto"/>
        </w:rPr>
      </w:r>
      <w:r/>
    </w:p>
    <w:p>
      <w:pPr>
        <w:pStyle w:val="824"/>
        <w:jc w:val="both"/>
        <w:spacing w:beforeAutospacing="0" w:afterAutospacing="0"/>
        <w:rPr>
          <w:color w:val="auto"/>
          <w:highlight w:val="none"/>
          <w:shd w:val="clear" w:color="auto" w:fill="auto"/>
        </w:rPr>
      </w:pPr>
      <w:r>
        <w:rPr>
          <w:color w:val="auto"/>
          <w:highlight w:val="none"/>
          <w:shd w:val="clear" w:color="auto" w:fill="auto"/>
        </w:rPr>
      </w:r>
      <w:r/>
    </w:p>
    <w:p>
      <w:pPr>
        <w:pStyle w:val="824"/>
        <w:jc w:val="both"/>
        <w:spacing w:beforeAutospacing="0" w:afterAutospacing="0"/>
        <w:rPr>
          <w:color w:val="auto"/>
          <w:highlight w:val="none"/>
          <w:shd w:val="clear" w:color="auto" w:fill="auto"/>
        </w:rPr>
      </w:pPr>
      <w:r>
        <w:rPr>
          <w:color w:val="auto"/>
          <w:highlight w:val="none"/>
          <w:shd w:val="clear" w:color="auto" w:fill="auto"/>
        </w:rPr>
      </w:r>
      <w:r/>
    </w:p>
    <w:p>
      <w:pPr>
        <w:pStyle w:val="824"/>
        <w:jc w:val="both"/>
        <w:spacing w:beforeAutospacing="0" w:afterAutospacing="0"/>
        <w:rPr>
          <w:color w:val="auto"/>
          <w:highlight w:val="none"/>
          <w:shd w:val="clear" w:color="auto" w:fill="auto"/>
        </w:rPr>
      </w:pPr>
      <w:r>
        <w:rPr>
          <w:color w:val="auto"/>
          <w:highlight w:val="none"/>
          <w:shd w:val="clear" w:color="auto" w:fill="auto"/>
        </w:rPr>
      </w:r>
      <w:r/>
    </w:p>
    <w:p>
      <w:pPr>
        <w:pStyle w:val="824"/>
        <w:jc w:val="both"/>
        <w:spacing w:beforeAutospacing="0" w:afterAutospacing="0"/>
        <w:rPr>
          <w:color w:val="auto"/>
          <w:highlight w:val="none"/>
          <w:shd w:val="clear" w:color="auto" w:fill="auto"/>
        </w:rPr>
      </w:pPr>
      <w:r>
        <w:rPr>
          <w:color w:val="auto"/>
          <w:highlight w:val="none"/>
          <w:shd w:val="clear" w:color="auto" w:fill="auto"/>
        </w:rPr>
      </w:r>
      <w:r/>
    </w:p>
    <w:p>
      <w:pPr>
        <w:pStyle w:val="824"/>
        <w:jc w:val="both"/>
        <w:spacing w:beforeAutospacing="0" w:afterAutospacing="0"/>
        <w:rPr>
          <w:color w:val="auto"/>
          <w:highlight w:val="none"/>
          <w:shd w:val="clear" w:color="auto" w:fill="auto"/>
        </w:rPr>
      </w:pPr>
      <w:r>
        <w:rPr>
          <w:color w:val="auto"/>
          <w:highlight w:val="none"/>
          <w:shd w:val="clear" w:color="auto" w:fill="auto"/>
        </w:rPr>
      </w:r>
      <w:r/>
    </w:p>
    <w:p>
      <w:pPr>
        <w:pStyle w:val="824"/>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24"/>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24"/>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24"/>
        <w:jc w:val="center"/>
        <w:spacing w:beforeAutospacing="0" w:afterAutospacing="0"/>
        <w:rPr>
          <w:color w:val="auto"/>
          <w:highlight w:val="none"/>
          <w:shd w:val="clear" w:color="auto" w:fill="auto"/>
        </w:rPr>
      </w:pPr>
      <w:r/>
      <w:bookmarkStart w:id="164" w:name="_Hlt26955054"/>
      <w:r>
        <w:rPr>
          <w:rFonts w:hint="eastAsia" w:ascii="黑体" w:hAnsi="宋体" w:eastAsia="黑体" w:cs="黑体"/>
          <w:b/>
          <w:color w:val="auto"/>
          <w:sz w:val="32"/>
          <w:szCs w:val="32"/>
          <w:highlight w:val="none"/>
          <w:shd w:val="clear" w:color="auto" w:fill="auto"/>
        </w:rPr>
        <w:t xml:space="preserve">十二、商务要求响应及偏离表</w:t>
      </w:r>
      <w:r/>
    </w:p>
    <w:tbl>
      <w:tblPr>
        <w:tblStyle w:val="81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763"/>
        <w:gridCol w:w="2801"/>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824"/>
              <w:jc w:val="center"/>
              <w:spacing w:beforeAutospacing="0" w:afterAutospacing="0"/>
              <w:rPr>
                <w:color w:val="auto"/>
                <w:highlight w:val="none"/>
                <w:shd w:val="clear" w:color="auto" w:fill="auto"/>
              </w:rPr>
            </w:pPr>
            <w:r/>
            <w:bookmarkStart w:id="165" w:name="_Hlt26671343"/>
            <w:r/>
            <w:bookmarkStart w:id="166" w:name="_Hlt26671372"/>
            <w:r/>
            <w:bookmarkStart w:id="167" w:name="_Hlt26782999"/>
            <w:r/>
            <w:bookmarkStart w:id="168" w:name="_Hlt26955056"/>
            <w:r/>
            <w:bookmarkStart w:id="169" w:name="_Hlt24879081"/>
            <w:r/>
            <w:bookmarkStart w:id="170" w:name="_Hlt26580838"/>
            <w:r/>
            <w:bookmarkStart w:id="171" w:name="_Hlt26609391"/>
            <w:r/>
            <w:bookmarkStart w:id="172" w:name="_Hlt26955064"/>
            <w:r>
              <w:rPr>
                <w:rFonts w:hint="eastAsia" w:ascii="宋体" w:hAnsi="宋体" w:eastAsia="宋体" w:cs="宋体"/>
                <w:color w:val="auto"/>
                <w:highlight w:val="none"/>
                <w:shd w:val="clear" w:color="auto" w:fill="auto"/>
              </w:rPr>
              <w:t xml:space="preserve">序号</w:t>
            </w:r>
            <w:bookmarkEnd w:id="165"/>
            <w:r/>
            <w:bookmarkEnd w:id="166"/>
            <w:r/>
            <w:bookmarkEnd w:id="167"/>
            <w:r/>
            <w:bookmarkEnd w:id="168"/>
            <w:r/>
            <w:bookmarkEnd w:id="169"/>
            <w:r/>
            <w:bookmarkEnd w:id="170"/>
            <w:r/>
            <w:bookmarkEnd w:id="171"/>
            <w:r/>
            <w:bookmarkEnd w:id="172"/>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824"/>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采购文件要求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4"/>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4"/>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4"/>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证明</w:t>
            </w:r>
            <w:r/>
          </w:p>
          <w:p>
            <w:pPr>
              <w:pStyle w:val="824"/>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824"/>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tc>
      </w:tr>
    </w:tbl>
    <w:p>
      <w:pPr>
        <w:pStyle w:val="824"/>
        <w:jc w:val="both"/>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注： 行数不够，可自行添加。</w:t>
      </w:r>
      <w:r/>
    </w:p>
    <w:p>
      <w:pPr>
        <w:pStyle w:val="824"/>
        <w:jc w:val="both"/>
        <w:spacing w:beforeAutospacing="0" w:afterAutospacing="0" w:line="480" w:lineRule="auto"/>
        <w:rPr>
          <w:color w:val="auto"/>
          <w:highlight w:val="none"/>
          <w:shd w:val="clear" w:color="auto" w:fill="auto"/>
        </w:rPr>
      </w:pPr>
      <w:r>
        <w:rPr>
          <w:color w:val="auto"/>
          <w:highlight w:val="none"/>
          <w:shd w:val="clear" w:color="auto" w:fill="auto"/>
        </w:rPr>
        <w:t xml:space="preserve"> </w:t>
      </w:r>
      <w:r/>
    </w:p>
    <w:p>
      <w:pPr>
        <w:pStyle w:val="824"/>
        <w:jc w:val="both"/>
        <w:spacing w:beforeAutospacing="0" w:afterAutospacing="0" w:line="480" w:lineRule="auto"/>
        <w:rPr>
          <w:color w:val="auto"/>
          <w:highlight w:val="none"/>
          <w:shd w:val="clear" w:color="auto" w:fill="auto"/>
        </w:rPr>
      </w:pPr>
      <w:r>
        <w:rPr>
          <w:color w:val="auto"/>
          <w:highlight w:val="none"/>
          <w:shd w:val="clear" w:color="auto" w:fill="auto"/>
        </w:rPr>
        <w:t xml:space="preserve"> </w:t>
      </w:r>
      <w:r/>
    </w:p>
    <w:p>
      <w:pPr>
        <w:pStyle w:val="824"/>
        <w:jc w:val="both"/>
        <w:spacing w:beforeAutospacing="0" w:afterAutospacing="0" w:line="480" w:lineRule="auto"/>
        <w:rPr>
          <w:color w:val="auto"/>
          <w:highlight w:val="none"/>
          <w:shd w:val="clear" w:color="auto" w:fill="auto"/>
        </w:rPr>
      </w:pPr>
      <w:r>
        <w:rPr>
          <w:color w:val="auto"/>
          <w:highlight w:val="none"/>
          <w:shd w:val="clear" w:color="auto" w:fill="auto"/>
        </w:rPr>
      </w:r>
      <w:r/>
    </w:p>
    <w:p>
      <w:pPr>
        <w:pStyle w:val="824"/>
        <w:jc w:val="both"/>
        <w:spacing w:beforeAutospacing="0" w:afterAutospacing="0" w:line="480" w:lineRule="auto"/>
        <w:rPr>
          <w:color w:val="auto"/>
          <w:highlight w:val="none"/>
          <w:shd w:val="clear" w:color="auto" w:fill="auto"/>
        </w:rPr>
      </w:pPr>
      <w:r>
        <w:rPr>
          <w:color w:val="auto"/>
          <w:highlight w:val="none"/>
          <w:shd w:val="clear" w:color="auto" w:fill="auto"/>
        </w:rPr>
      </w:r>
      <w:r/>
    </w:p>
    <w:p>
      <w:pPr>
        <w:pStyle w:val="824"/>
        <w:jc w:val="both"/>
        <w:spacing w:beforeAutospacing="0" w:afterAutospacing="0" w:line="480" w:lineRule="auto"/>
        <w:rPr>
          <w:color w:val="auto"/>
          <w:highlight w:val="none"/>
          <w:shd w:val="clear" w:color="auto" w:fill="auto"/>
        </w:rPr>
      </w:pPr>
      <w:r>
        <w:rPr>
          <w:color w:val="auto"/>
          <w:highlight w:val="none"/>
          <w:shd w:val="clear" w:color="auto" w:fill="auto"/>
        </w:rPr>
      </w:r>
      <w:r/>
    </w:p>
    <w:p>
      <w:pPr>
        <w:pStyle w:val="824"/>
        <w:jc w:val="both"/>
        <w:spacing w:beforeAutospacing="0" w:afterAutospacing="0" w:line="480" w:lineRule="auto"/>
        <w:rPr>
          <w:color w:val="auto"/>
          <w:highlight w:val="none"/>
          <w:shd w:val="clear" w:color="auto" w:fill="auto"/>
        </w:rPr>
      </w:pPr>
      <w:r>
        <w:rPr>
          <w:color w:val="auto"/>
          <w:highlight w:val="none"/>
          <w:shd w:val="clear" w:color="auto" w:fill="auto"/>
        </w:rPr>
      </w:r>
      <w:r/>
    </w:p>
    <w:p>
      <w:pPr>
        <w:pStyle w:val="824"/>
        <w:jc w:val="both"/>
        <w:spacing w:beforeAutospacing="0" w:afterAutospacing="0" w:line="480" w:lineRule="auto"/>
        <w:rPr>
          <w:color w:val="auto"/>
          <w:highlight w:val="none"/>
          <w:shd w:val="clear" w:color="auto" w:fill="auto"/>
        </w:rPr>
      </w:pPr>
      <w:r>
        <w:rPr>
          <w:color w:val="auto"/>
          <w:highlight w:val="none"/>
          <w:shd w:val="clear" w:color="auto" w:fill="auto"/>
        </w:rPr>
      </w:r>
      <w:r/>
    </w:p>
    <w:p>
      <w:pPr>
        <w:pStyle w:val="824"/>
        <w:jc w:val="both"/>
        <w:spacing w:beforeAutospacing="0" w:afterAutospacing="0" w:line="480" w:lineRule="auto"/>
        <w:rPr>
          <w:color w:val="auto"/>
          <w:highlight w:val="none"/>
          <w:shd w:val="clear" w:color="auto" w:fill="auto"/>
        </w:rPr>
      </w:pPr>
      <w:r>
        <w:rPr>
          <w:color w:val="auto"/>
          <w:highlight w:val="none"/>
          <w:shd w:val="clear" w:color="auto" w:fill="auto"/>
        </w:rPr>
      </w:r>
      <w:r/>
    </w:p>
    <w:p>
      <w:pPr>
        <w:pStyle w:val="824"/>
        <w:jc w:val="both"/>
        <w:spacing w:beforeAutospacing="0" w:afterAutospacing="0" w:line="480" w:lineRule="auto"/>
        <w:rPr>
          <w:color w:val="auto"/>
          <w:highlight w:val="none"/>
          <w:shd w:val="clear" w:color="auto" w:fill="auto"/>
        </w:rPr>
      </w:pPr>
      <w:r>
        <w:rPr>
          <w:color w:val="auto"/>
          <w:highlight w:val="none"/>
          <w:shd w:val="clear" w:color="auto" w:fill="auto"/>
        </w:rPr>
      </w:r>
      <w:r/>
    </w:p>
    <w:p>
      <w:pPr>
        <w:pStyle w:val="824"/>
        <w:jc w:val="both"/>
        <w:spacing w:beforeAutospacing="0" w:afterAutospacing="0" w:line="480" w:lineRule="auto"/>
        <w:rPr>
          <w:color w:val="auto"/>
          <w:highlight w:val="none"/>
          <w:shd w:val="clear" w:color="auto" w:fill="auto"/>
        </w:rPr>
      </w:pPr>
      <w:r>
        <w:rPr>
          <w:color w:val="auto"/>
          <w:highlight w:val="none"/>
          <w:shd w:val="clear" w:color="auto" w:fill="auto"/>
        </w:rPr>
      </w:r>
      <w:r/>
    </w:p>
    <w:p>
      <w:pPr>
        <w:pStyle w:val="824"/>
        <w:jc w:val="both"/>
        <w:spacing w:beforeAutospacing="0" w:afterAutospacing="0" w:line="480" w:lineRule="auto"/>
        <w:rPr>
          <w:color w:val="auto"/>
          <w:highlight w:val="none"/>
          <w:shd w:val="clear" w:color="auto" w:fill="auto"/>
        </w:rPr>
      </w:pPr>
      <w:r>
        <w:rPr>
          <w:color w:val="auto"/>
          <w:highlight w:val="none"/>
          <w:shd w:val="clear" w:color="auto" w:fill="auto"/>
        </w:rPr>
      </w:r>
      <w:bookmarkEnd w:id="27"/>
      <w:r/>
      <w:bookmarkEnd w:id="37"/>
      <w:r/>
      <w:bookmarkEnd w:id="84"/>
      <w:r/>
      <w:bookmarkEnd w:id="85"/>
      <w:r/>
      <w:bookmarkEnd w:id="86"/>
      <w:r/>
      <w:bookmarkEnd w:id="87"/>
      <w:r/>
      <w:bookmarkEnd w:id="88"/>
      <w:r/>
      <w:bookmarkEnd w:id="89"/>
      <w:r/>
      <w:bookmarkEnd w:id="90"/>
      <w:r/>
      <w:bookmarkEnd w:id="91"/>
      <w:r/>
      <w:bookmarkEnd w:id="100"/>
      <w:r/>
      <w:bookmarkEnd w:id="101"/>
      <w:r/>
      <w:bookmarkEnd w:id="108"/>
      <w:r/>
      <w:bookmarkEnd w:id="150"/>
      <w:r/>
      <w:bookmarkEnd w:id="151"/>
      <w:r/>
      <w:bookmarkEnd w:id="154"/>
      <w:r/>
      <w:bookmarkEnd w:id="157"/>
      <w:r/>
      <w:bookmarkEnd w:id="158"/>
      <w:r/>
      <w:bookmarkEnd w:id="159"/>
      <w:r/>
      <w:bookmarkEnd w:id="160"/>
      <w:r/>
      <w:bookmarkEnd w:id="161"/>
      <w:r/>
      <w:bookmarkEnd w:id="162"/>
      <w:r/>
      <w:bookmarkEnd w:id="163"/>
      <w:r/>
      <w:bookmarkEnd w:id="164"/>
      <w:r/>
      <w:r/>
    </w:p>
    <w:p>
      <w:pPr>
        <w:pStyle w:val="824"/>
        <w:jc w:val="both"/>
        <w:spacing w:beforeAutospacing="0" w:afterAutospacing="0"/>
        <w:rPr>
          <w:color w:val="auto"/>
          <w:highlight w:val="none"/>
        </w:rPr>
      </w:pPr>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auto"/>
          <w:sz w:val="32"/>
          <w:szCs w:val="32"/>
          <w:highlight w:val="none"/>
          <w:u w:val="single"/>
          <w:lang w:val="en-US" w:eastAsia="zh-CN"/>
        </w:rPr>
        <w:t xml:space="preserve">三</w:t>
      </w:r>
      <w:r>
        <w:rPr>
          <w:rFonts w:hint="eastAsia" w:ascii="黑体" w:hAnsi="宋体" w:eastAsia="黑体" w:cs="黑体"/>
          <w:b/>
          <w:i/>
          <w:color w:val="auto"/>
          <w:sz w:val="32"/>
          <w:szCs w:val="32"/>
          <w:highlight w:val="none"/>
          <w:u w:val="single"/>
        </w:rPr>
        <w:t xml:space="preserve">、开标一览表</w:t>
      </w:r>
      <w:r/>
    </w:p>
    <w:p>
      <w:pPr>
        <w:pStyle w:val="824"/>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pStyle w:val="824"/>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824"/>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tbl>
      <w:tblPr>
        <w:tblStyle w:val="818"/>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24"/>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24"/>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24"/>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bl>
    <w:p>
      <w:pPr>
        <w:pStyle w:val="824"/>
        <w:jc w:val="both"/>
        <w:spacing w:beforeAutospacing="0" w:afterAutospacing="0"/>
        <w:rPr>
          <w:color w:val="auto"/>
          <w:highlight w:val="none"/>
        </w:rPr>
      </w:pPr>
      <w:r>
        <w:rPr>
          <w:color w:val="auto"/>
          <w:highlight w:val="none"/>
        </w:rPr>
        <w:t xml:space="preserve"> </w:t>
      </w:r>
      <w:r/>
    </w:p>
    <w:p>
      <w:pPr>
        <w:pStyle w:val="824"/>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824"/>
        <w:ind w:firstLine="480"/>
        <w:jc w:val="both"/>
        <w:spacing w:beforeAutospacing="0" w:afterAutospacing="0"/>
        <w:rPr>
          <w:highlight w:val="none"/>
        </w:rPr>
      </w:pPr>
      <w:r>
        <w:rPr>
          <w:highlight w:val="none"/>
        </w:rPr>
        <w:t xml:space="preserve"> </w:t>
      </w:r>
      <w:r/>
    </w:p>
    <w:p>
      <w:pPr>
        <w:pStyle w:val="824"/>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tab/>
      </w:r>
      <w:r/>
    </w:p>
    <w:p>
      <w:pPr>
        <w:pStyle w:val="824"/>
        <w:jc w:val="center"/>
        <w:spacing w:beforeAutospacing="0" w:afterAutospacing="0"/>
        <w:rPr>
          <w:color w:val="auto"/>
          <w:highlight w:val="none"/>
          <w:shd w:val="clear" w:color="auto" w:fill="auto"/>
        </w:rPr>
      </w:pPr>
      <w:r>
        <w:rPr>
          <w:color w:val="auto"/>
          <w:highlight w:val="none"/>
          <w:shd w:val="clear" w:color="auto" w:fill="auto"/>
        </w:rPr>
      </w:r>
      <w:r/>
    </w:p>
    <w:p>
      <w:pPr>
        <w:pStyle w:val="824"/>
        <w:jc w:val="center"/>
        <w:spacing w:beforeAutospacing="0" w:after="313" w:afterAutospacing="0" w:line="0" w:lineRule="atLeast"/>
        <w:rPr>
          <w:rFonts w:ascii="宋体" w:hAnsi="宋体" w:eastAsia="宋体" w:cs="宋体"/>
          <w:b/>
          <w:sz w:val="32"/>
          <w:szCs w:val="32"/>
          <w:highlight w:val="none"/>
        </w:rPr>
      </w:pPr>
      <w:r>
        <w:rPr>
          <w:rFonts w:hint="eastAsia" w:ascii="宋体" w:hAnsi="宋体" w:eastAsia="宋体" w:cs="宋体"/>
          <w:b/>
          <w:bCs/>
          <w:color w:val="auto"/>
          <w:sz w:val="32"/>
          <w:szCs w:val="32"/>
          <w:highlight w:val="none"/>
          <w:shd w:val="clear" w:color="auto" w:fill="auto"/>
        </w:rPr>
        <w:t xml:space="preserve">十</w:t>
      </w:r>
      <w:r>
        <w:rPr>
          <w:rFonts w:hint="eastAsia" w:ascii="宋体" w:hAnsi="宋体" w:eastAsia="宋体" w:cs="宋体"/>
          <w:b/>
          <w:bCs/>
          <w:color w:val="auto"/>
          <w:sz w:val="32"/>
          <w:szCs w:val="32"/>
          <w:highlight w:val="none"/>
          <w:shd w:val="clear" w:color="auto" w:fill="auto"/>
          <w:lang w:val="en-US" w:eastAsia="zh-CN"/>
        </w:rPr>
        <w:t xml:space="preserve">四</w:t>
      </w:r>
      <w:r>
        <w:rPr>
          <w:rFonts w:hint="eastAsia" w:ascii="宋体" w:hAnsi="宋体" w:eastAsia="宋体" w:cs="宋体"/>
          <w:b/>
          <w:sz w:val="32"/>
          <w:szCs w:val="32"/>
          <w:highlight w:val="none"/>
        </w:rPr>
        <w:t xml:space="preserve">、</w:t>
      </w:r>
      <w:r>
        <w:rPr>
          <w:rFonts w:hint="eastAsia" w:ascii="宋体" w:hAnsi="宋体" w:eastAsia="宋体" w:cs="宋体"/>
          <w:b/>
          <w:sz w:val="32"/>
          <w:szCs w:val="32"/>
          <w:highlight w:val="none"/>
          <w:lang w:val="en-US" w:eastAsia="zh-CN"/>
        </w:rPr>
        <w:t xml:space="preserve">中</w:t>
      </w:r>
      <w:r>
        <w:rPr>
          <w:rFonts w:hint="eastAsia" w:ascii="宋体" w:hAnsi="宋体" w:eastAsia="宋体" w:cs="宋体"/>
          <w:b/>
          <w:sz w:val="32"/>
          <w:szCs w:val="32"/>
          <w:highlight w:val="none"/>
        </w:rPr>
        <w:t xml:space="preserve">小企业声明函（服务）</w:t>
      </w:r>
      <w:r/>
    </w:p>
    <w:p>
      <w:pPr>
        <w:pStyle w:val="824"/>
        <w:ind w:firstLine="360"/>
        <w:jc w:val="both"/>
        <w:spacing w:beforeAutospacing="0" w:afterAutospacing="0" w:line="360" w:lineRule="auto"/>
        <w:rPr>
          <w:rFonts w:ascii="宋体" w:hAnsi="宋体" w:eastAsia="宋体" w:cs="宋体"/>
          <w:highlight w:val="none"/>
        </w:rPr>
      </w:pPr>
      <w:r>
        <w:rPr>
          <w:rFonts w:hint="eastAsia" w:ascii="宋体" w:hAnsi="宋体" w:eastAsia="宋体" w:cs="宋体"/>
          <w:highlight w:val="none"/>
        </w:rPr>
        <w:t xml:space="preserve">本公司（联合体）郑重声明，根据《政府采购促进中小企业发展管理办法》(财库[2020]46号)的规定，本公司（联合体）参加</w:t>
      </w:r>
      <w:r>
        <w:rPr>
          <w:rFonts w:hint="eastAsia" w:ascii="宋体" w:hAnsi="宋体" w:eastAsia="宋体" w:cs="宋体"/>
          <w:highlight w:val="none"/>
          <w:lang w:val="en-US" w:eastAsia="zh-CN"/>
        </w:rPr>
        <w:t xml:space="preserve">响水县财政局</w:t>
      </w:r>
      <w:r>
        <w:rPr>
          <w:rFonts w:hint="eastAsia" w:ascii="宋体" w:hAnsi="宋体" w:eastAsia="宋体" w:cs="宋体"/>
          <w:highlight w:val="none"/>
        </w:rPr>
        <w:t xml:space="preserve">组织的采购编号为</w:t>
      </w:r>
      <w:r>
        <w:rPr>
          <w:rFonts w:hint="eastAsia" w:ascii="宋体" w:hAnsi="宋体" w:eastAsia="宋体" w:cs="宋体"/>
          <w:highlight w:val="none"/>
          <w:u w:val="single"/>
        </w:rPr>
        <w:t xml:space="preserve">***</w:t>
      </w:r>
      <w:r>
        <w:rPr>
          <w:rFonts w:hint="eastAsia" w:ascii="宋体" w:hAnsi="宋体" w:eastAsia="宋体" w:cs="宋体"/>
          <w:highlight w:val="none"/>
        </w:rPr>
        <w:t xml:space="preserve">，</w:t>
      </w:r>
      <w:r>
        <w:rPr>
          <w:rFonts w:hint="eastAsia" w:ascii="宋体" w:hAnsi="宋体" w:eastAsia="宋体" w:cs="宋体"/>
          <w:highlight w:val="none"/>
          <w:u w:val="single"/>
        </w:rPr>
        <w:t xml:space="preserve">（项目名称）</w:t>
      </w:r>
      <w:r>
        <w:rPr>
          <w:rFonts w:hint="eastAsia" w:ascii="宋体" w:hAnsi="宋体" w:eastAsia="宋体" w:cs="宋体"/>
          <w:highlight w:val="none"/>
        </w:rPr>
        <w:t xml:space="preserve">的采购活动，服务全部由符合政策的</w:t>
      </w:r>
      <w:r>
        <w:rPr>
          <w:rFonts w:hint="eastAsia" w:ascii="宋体" w:hAnsi="宋体" w:eastAsia="宋体" w:cs="宋体"/>
          <w:highlight w:val="none"/>
          <w:lang w:val="en-US" w:eastAsia="zh-CN"/>
        </w:rPr>
        <w:t xml:space="preserve">中</w:t>
      </w:r>
      <w:r>
        <w:rPr>
          <w:rFonts w:hint="eastAsia" w:ascii="宋体" w:hAnsi="宋体" w:eastAsia="宋体" w:cs="宋体"/>
          <w:highlight w:val="none"/>
        </w:rPr>
        <w:t xml:space="preserve">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824"/>
        <w:ind w:firstLine="360"/>
        <w:jc w:val="both"/>
        <w:spacing w:beforeAutospacing="0" w:afterAutospacing="0" w:line="360" w:lineRule="auto"/>
        <w:rPr>
          <w:rFonts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u w:val="single"/>
        </w:rPr>
        <w:t xml:space="preserve">（标的名称）</w:t>
      </w:r>
      <w:r>
        <w:rPr>
          <w:rFonts w:hint="eastAsia" w:ascii="宋体" w:hAnsi="宋体" w:eastAsia="宋体" w:cs="宋体"/>
          <w:i/>
          <w:highlight w:val="none"/>
        </w:rPr>
        <w:t xml:space="preserve">，</w:t>
      </w:r>
      <w:r>
        <w:rPr>
          <w:rFonts w:hint="eastAsia" w:ascii="宋体" w:hAnsi="宋体" w:eastAsia="宋体" w:cs="宋体"/>
          <w:highlight w:val="none"/>
        </w:rPr>
        <w:t xml:space="preserve">属于</w:t>
      </w:r>
      <w:r>
        <w:rPr>
          <w:rFonts w:hint="eastAsia" w:ascii="宋体" w:hAnsi="宋体" w:eastAsia="宋体" w:cs="宋体"/>
          <w:highlight w:val="none"/>
          <w:u w:val="single"/>
        </w:rPr>
        <w:t xml:space="preserve">       </w:t>
      </w:r>
      <w:r>
        <w:rPr>
          <w:rFonts w:hint="eastAsia" w:ascii="宋体" w:hAnsi="宋体" w:eastAsia="宋体" w:cs="宋体"/>
          <w:highlight w:val="none"/>
        </w:rPr>
        <w:t xml:space="preserve">行业；承接企业为</w:t>
      </w:r>
      <w:r>
        <w:rPr>
          <w:rFonts w:hint="eastAsia" w:ascii="宋体" w:hAnsi="宋体" w:eastAsia="宋体" w:cs="宋体"/>
          <w:highlight w:val="none"/>
          <w:u w:val="single"/>
        </w:rPr>
        <w:t xml:space="preserve">（企业名称）</w:t>
      </w:r>
      <w:r>
        <w:rPr>
          <w:rFonts w:hint="eastAsia" w:ascii="宋体" w:hAnsi="宋体" w:eastAsia="宋体" w:cs="宋体"/>
          <w:highlight w:val="none"/>
        </w:rPr>
        <w:t xml:space="preserve">，从业人员</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人，营业收入为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rPr>
          <w:rFonts w:hint="eastAsia" w:ascii="宋体" w:hAnsi="宋体" w:eastAsia="宋体" w:cs="宋体"/>
          <w:highlight w:val="none"/>
          <w:vertAlign w:val="superscript"/>
        </w:rPr>
        <w:t xml:space="preserve">1</w:t>
      </w:r>
      <w:r>
        <w:rPr>
          <w:rFonts w:hint="eastAsia" w:ascii="宋体" w:hAnsi="宋体" w:eastAsia="宋体" w:cs="宋体"/>
          <w:highlight w:val="none"/>
        </w:rPr>
        <w:t xml:space="preserve">，属于</w:t>
      </w:r>
      <w:r>
        <w:rPr>
          <w:rFonts w:hint="eastAsia" w:ascii="宋体" w:hAnsi="宋体" w:eastAsia="宋体" w:cs="宋体"/>
          <w:highlight w:val="none"/>
          <w:u w:val="single"/>
        </w:rPr>
        <w:t xml:space="preserve">（</w:t>
      </w:r>
      <w:r>
        <w:rPr>
          <w:rFonts w:hint="eastAsia" w:ascii="宋体" w:hAnsi="宋体" w:eastAsia="宋体" w:cs="宋体"/>
          <w:highlight w:val="none"/>
          <w:u w:val="single"/>
          <w:lang w:val="en-US" w:eastAsia="zh-CN"/>
        </w:rPr>
        <w:t xml:space="preserve">中型企业、</w:t>
      </w:r>
      <w:r>
        <w:rPr>
          <w:rFonts w:hint="eastAsia" w:ascii="宋体" w:hAnsi="宋体" w:eastAsia="宋体" w:cs="宋体"/>
          <w:highlight w:val="none"/>
          <w:u w:val="single"/>
        </w:rPr>
        <w:t xml:space="preserve">小型企业、微型企业）；</w:t>
      </w:r>
      <w:r/>
    </w:p>
    <w:p>
      <w:pPr>
        <w:pStyle w:val="824"/>
        <w:ind w:firstLine="360"/>
        <w:jc w:val="both"/>
        <w:spacing w:beforeAutospacing="0" w:afterAutospacing="0" w:line="360" w:lineRule="auto"/>
        <w:rPr>
          <w:rFonts w:ascii="宋体" w:hAnsi="宋体" w:eastAsia="宋体" w:cs="宋体"/>
          <w:highlight w:val="none"/>
        </w:rPr>
      </w:pPr>
      <w:r>
        <w:rPr>
          <w:rFonts w:hint="eastAsia" w:ascii="宋体" w:hAnsi="宋体" w:eastAsia="宋体" w:cs="宋体"/>
          <w:highlight w:val="none"/>
        </w:rPr>
        <w:t xml:space="preserve">2.</w:t>
      </w:r>
      <w:r>
        <w:rPr>
          <w:rFonts w:hint="eastAsia" w:ascii="宋体" w:hAnsi="宋体" w:eastAsia="宋体" w:cs="宋体"/>
          <w:highlight w:val="none"/>
          <w:u w:val="single"/>
        </w:rPr>
        <w:t xml:space="preserve">（标的名称）</w:t>
      </w:r>
      <w:r>
        <w:rPr>
          <w:rFonts w:hint="eastAsia" w:ascii="宋体" w:hAnsi="宋体" w:eastAsia="宋体" w:cs="宋体"/>
          <w:i/>
          <w:highlight w:val="none"/>
        </w:rPr>
        <w:t xml:space="preserve">，</w:t>
      </w:r>
      <w:r>
        <w:rPr>
          <w:rFonts w:hint="eastAsia" w:ascii="宋体" w:hAnsi="宋体" w:eastAsia="宋体" w:cs="宋体"/>
          <w:highlight w:val="none"/>
        </w:rPr>
        <w:t xml:space="preserve">属于</w:t>
      </w:r>
      <w:r>
        <w:rPr>
          <w:rFonts w:hint="eastAsia" w:ascii="宋体" w:hAnsi="宋体" w:eastAsia="宋体" w:cs="宋体"/>
          <w:highlight w:val="none"/>
          <w:u w:val="single"/>
        </w:rPr>
        <w:t xml:space="preserve">       </w:t>
      </w:r>
      <w:r>
        <w:rPr>
          <w:rFonts w:hint="eastAsia" w:ascii="宋体" w:hAnsi="宋体" w:eastAsia="宋体" w:cs="宋体"/>
          <w:highlight w:val="none"/>
        </w:rPr>
        <w:t xml:space="preserve">行业；承接企业为</w:t>
      </w:r>
      <w:r>
        <w:rPr>
          <w:rFonts w:hint="eastAsia" w:ascii="宋体" w:hAnsi="宋体" w:eastAsia="宋体" w:cs="宋体"/>
          <w:highlight w:val="none"/>
          <w:u w:val="single"/>
        </w:rPr>
        <w:t xml:space="preserve">（企业名称）</w:t>
      </w:r>
      <w:r>
        <w:rPr>
          <w:rFonts w:hint="eastAsia" w:ascii="宋体" w:hAnsi="宋体" w:eastAsia="宋体" w:cs="宋体"/>
          <w:highlight w:val="none"/>
        </w:rPr>
        <w:t xml:space="preserve">，从业人员</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人，营业收入为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rPr>
          <w:rFonts w:hint="eastAsia" w:ascii="宋体" w:hAnsi="宋体" w:eastAsia="宋体" w:cs="宋体"/>
          <w:highlight w:val="none"/>
          <w:vertAlign w:val="superscript"/>
        </w:rPr>
        <w:t xml:space="preserve">1</w:t>
      </w:r>
      <w:r>
        <w:rPr>
          <w:rFonts w:hint="eastAsia" w:ascii="宋体" w:hAnsi="宋体" w:eastAsia="宋体" w:cs="宋体"/>
          <w:highlight w:val="none"/>
        </w:rPr>
        <w:t xml:space="preserve">，属于</w:t>
      </w:r>
      <w:r>
        <w:rPr>
          <w:rFonts w:hint="eastAsia" w:ascii="宋体" w:hAnsi="宋体" w:eastAsia="宋体" w:cs="宋体"/>
          <w:highlight w:val="none"/>
          <w:u w:val="single"/>
        </w:rPr>
        <w:t xml:space="preserve">（</w:t>
      </w:r>
      <w:r>
        <w:rPr>
          <w:rFonts w:hint="eastAsia" w:ascii="宋体" w:hAnsi="宋体" w:eastAsia="宋体" w:cs="宋体"/>
          <w:highlight w:val="none"/>
          <w:u w:val="single"/>
          <w:lang w:val="en-US" w:eastAsia="zh-CN"/>
        </w:rPr>
        <w:t xml:space="preserve">中型企业、</w:t>
      </w:r>
      <w:r>
        <w:rPr>
          <w:rFonts w:hint="eastAsia" w:ascii="宋体" w:hAnsi="宋体" w:eastAsia="宋体" w:cs="宋体"/>
          <w:highlight w:val="none"/>
          <w:u w:val="single"/>
        </w:rPr>
        <w:t xml:space="preserve">小型企业、微型企业）；</w:t>
      </w:r>
      <w:r/>
    </w:p>
    <w:p>
      <w:pPr>
        <w:pStyle w:val="824"/>
        <w:ind w:firstLine="360"/>
        <w:jc w:val="both"/>
        <w:spacing w:beforeAutospacing="0" w:afterAutospacing="0" w:line="360" w:lineRule="auto"/>
        <w:rPr>
          <w:rFonts w:ascii="宋体" w:hAnsi="宋体" w:eastAsia="宋体" w:cs="宋体"/>
          <w:highlight w:val="none"/>
        </w:rPr>
      </w:pPr>
      <w:r>
        <w:rPr>
          <w:rFonts w:hint="eastAsia" w:ascii="宋体" w:hAnsi="宋体" w:eastAsia="宋体" w:cs="宋体"/>
          <w:highlight w:val="none"/>
        </w:rPr>
        <w:t xml:space="preserve">……</w:t>
      </w:r>
      <w:r/>
    </w:p>
    <w:p>
      <w:pPr>
        <w:pStyle w:val="824"/>
        <w:ind w:firstLine="360"/>
        <w:jc w:val="both"/>
        <w:spacing w:beforeAutospacing="0" w:afterAutospacing="0" w:line="360" w:lineRule="auto"/>
        <w:rPr>
          <w:rFonts w:ascii="宋体" w:hAnsi="宋体" w:eastAsia="宋体" w:cs="宋体"/>
          <w:highlight w:val="none"/>
        </w:rPr>
      </w:pPr>
      <w:r>
        <w:rPr>
          <w:rFonts w:hint="eastAsia" w:ascii="宋体" w:hAnsi="宋体" w:eastAsia="宋体" w:cs="宋体"/>
          <w:highlight w:val="none"/>
        </w:rPr>
        <w:t xml:space="preserve">以上企业，不属于大企业的分支机构，不存在控股股东为大企业的情形，也不存在与大企业的负责人为同一人的情形。</w:t>
      </w:r>
      <w:r/>
    </w:p>
    <w:p>
      <w:pPr>
        <w:pStyle w:val="824"/>
        <w:ind w:firstLine="360"/>
        <w:jc w:val="both"/>
        <w:spacing w:beforeAutospacing="0" w:afterAutospacing="0" w:line="360" w:lineRule="auto"/>
        <w:rPr>
          <w:rFonts w:ascii="宋体" w:hAnsi="宋体" w:eastAsia="宋体" w:cs="宋体"/>
          <w:highlight w:val="none"/>
        </w:rPr>
      </w:pPr>
      <w:r>
        <w:rPr>
          <w:rFonts w:hint="eastAsia" w:ascii="宋体" w:hAnsi="宋体" w:eastAsia="宋体" w:cs="宋体"/>
          <w:highlight w:val="none"/>
        </w:rPr>
        <w:t xml:space="preserve">本企业对上述声明内容的真实性负责。如有虚假，将依法承担相应责任</w:t>
      </w:r>
      <w:r/>
    </w:p>
    <w:p>
      <w:pPr>
        <w:pStyle w:val="824"/>
        <w:ind w:right="720"/>
        <w:jc w:val="both"/>
        <w:spacing w:beforeAutospacing="0" w:afterAutospacing="0" w:line="360" w:lineRule="auto"/>
        <w:rPr>
          <w:rFonts w:ascii="宋体" w:hAnsi="宋体" w:eastAsia="宋体" w:cs="宋体"/>
          <w:highlight w:val="none"/>
        </w:rPr>
      </w:pPr>
      <w:r>
        <w:rPr>
          <w:rFonts w:hint="eastAsia" w:ascii="宋体" w:hAnsi="宋体" w:eastAsia="宋体" w:cs="宋体"/>
          <w:highlight w:val="none"/>
        </w:rPr>
        <w:t xml:space="preserve"> </w:t>
      </w:r>
      <w:r/>
    </w:p>
    <w:p>
      <w:pPr>
        <w:pStyle w:val="824"/>
        <w:ind w:right="180" w:firstLine="360"/>
        <w:jc w:val="right"/>
        <w:spacing w:beforeAutospacing="0" w:afterAutospacing="0" w:line="360" w:lineRule="auto"/>
        <w:rPr>
          <w:rFonts w:ascii="宋体" w:hAnsi="宋体" w:eastAsia="宋体" w:cs="宋体"/>
          <w:highlight w:val="none"/>
        </w:rPr>
      </w:pPr>
      <w:r>
        <w:rPr>
          <w:rFonts w:hint="eastAsia" w:ascii="宋体" w:hAnsi="宋体" w:eastAsia="宋体" w:cs="宋体"/>
          <w:highlight w:val="none"/>
        </w:rPr>
        <w:t xml:space="preserve">企业名称（加盖CA电子公章）：</w:t>
      </w:r>
      <w:r/>
    </w:p>
    <w:p>
      <w:pPr>
        <w:pStyle w:val="824"/>
        <w:ind w:right="480" w:firstLine="5400"/>
        <w:jc w:val="both"/>
        <w:spacing w:beforeAutospacing="0" w:afterAutospacing="0" w:line="360" w:lineRule="auto"/>
        <w:rPr>
          <w:rFonts w:ascii="宋体" w:hAnsi="宋体" w:eastAsia="宋体" w:cs="宋体"/>
          <w:highlight w:val="none"/>
        </w:rPr>
      </w:pPr>
      <w:r>
        <w:rPr>
          <w:rFonts w:hint="eastAsia" w:ascii="宋体" w:hAnsi="宋体" w:eastAsia="宋体" w:cs="宋体"/>
          <w:highlight w:val="none"/>
        </w:rPr>
        <w:t xml:space="preserve">日  期：</w:t>
      </w:r>
      <w:r/>
    </w:p>
    <w:p>
      <w:pPr>
        <w:pStyle w:val="824"/>
        <w:ind w:firstLine="240"/>
        <w:jc w:val="both"/>
        <w:spacing w:beforeAutospacing="0" w:afterAutospacing="0" w:line="360" w:lineRule="auto"/>
        <w:rPr>
          <w:rFonts w:ascii="宋体" w:hAnsi="宋体" w:eastAsia="宋体" w:cs="宋体"/>
          <w:highlight w:val="none"/>
        </w:rPr>
      </w:pPr>
      <w:r>
        <w:rPr>
          <w:rFonts w:hint="eastAsia" w:ascii="宋体" w:hAnsi="宋体" w:eastAsia="宋体" w:cs="宋体"/>
          <w:highlight w:val="none"/>
        </w:rPr>
        <w:t xml:space="preserve"> </w:t>
      </w:r>
      <w:r/>
    </w:p>
    <w:p>
      <w:pPr>
        <w:pStyle w:val="824"/>
        <w:ind w:firstLine="480"/>
        <w:jc w:val="both"/>
        <w:spacing w:beforeAutospacing="0" w:afterAutospacing="0" w:line="360" w:lineRule="auto"/>
        <w:rPr>
          <w:rFonts w:ascii="宋体" w:hAnsi="宋体" w:eastAsia="宋体" w:cs="宋体"/>
          <w:highlight w:val="none"/>
        </w:rPr>
      </w:pPr>
      <w:r>
        <w:rPr>
          <w:rFonts w:hint="eastAsia" w:ascii="宋体" w:hAnsi="宋体" w:eastAsia="宋体" w:cs="宋体"/>
          <w:highlight w:val="none"/>
        </w:rPr>
        <w:t xml:space="preserve">备注1：从业人员、营业收入、资产总额填报上一年度数据，无上一年度数据的新成立企业可不填报。</w:t>
      </w:r>
      <w:r/>
    </w:p>
    <w:p>
      <w:pPr>
        <w:pStyle w:val="824"/>
        <w:ind w:firstLine="480"/>
        <w:jc w:val="both"/>
        <w:spacing w:beforeAutospacing="0" w:afterAutospacing="0" w:line="360" w:lineRule="auto"/>
        <w:rPr>
          <w:rFonts w:ascii="宋体" w:hAnsi="宋体" w:eastAsia="宋体" w:cs="宋体"/>
          <w:highlight w:val="none"/>
        </w:rPr>
      </w:pPr>
      <w:r>
        <w:rPr>
          <w:rFonts w:hint="eastAsia" w:ascii="宋体" w:hAnsi="宋体" w:eastAsia="宋体" w:cs="宋体"/>
          <w:highlight w:val="none"/>
        </w:rPr>
        <w:t xml:space="preserve">备注2：供应商如不提供此声明函，价格将不做相应扣除（如项目全面面向中小企业，则资格审查不通过）。</w:t>
      </w:r>
      <w:r/>
    </w:p>
    <w:p>
      <w:pPr>
        <w:rPr>
          <w:rFonts w:hint="eastAsia" w:ascii="黑体" w:hAnsi="宋体" w:eastAsia="黑体" w:cs="黑体"/>
          <w:b/>
          <w:color w:val="auto"/>
          <w:sz w:val="32"/>
          <w:szCs w:val="32"/>
          <w:highlight w:val="none"/>
          <w:shd w:val="clear" w:color="auto" w:fill="auto"/>
          <w:lang w:val="en-US" w:eastAsia="zh-CN" w:bidi="ar-SA"/>
        </w:rPr>
      </w:pPr>
      <w:r>
        <w:rPr>
          <w:rFonts w:hint="eastAsia" w:ascii="黑体" w:hAnsi="宋体" w:eastAsia="黑体" w:cs="黑体"/>
          <w:b/>
          <w:color w:val="auto"/>
          <w:sz w:val="32"/>
          <w:szCs w:val="32"/>
          <w:highlight w:val="none"/>
          <w:shd w:val="clear" w:color="auto" w:fill="auto"/>
          <w:lang w:val="en-US" w:eastAsia="zh-CN" w:bidi="ar-SA"/>
        </w:rPr>
        <w:br w:type="page" w:clear="all"/>
      </w:r>
      <w:r/>
    </w:p>
    <w:p>
      <w:pPr>
        <w:jc w:val="center"/>
        <w:spacing w:line="360" w:lineRule="auto"/>
        <w:rPr>
          <w:rFonts w:hint="eastAsia" w:ascii="宋体" w:hAnsi="宋体" w:eastAsia="宋体" w:cs="宋体"/>
          <w:color w:val="000000" w:themeColor="text1"/>
          <w:sz w:val="36"/>
          <w:szCs w:val="36"/>
          <w14:textFill>
            <w14:solidFill>
              <w14:schemeClr w14:val="tx1"/>
            </w14:solidFill>
          </w14:textFill>
        </w:rPr>
      </w:pPr>
      <w:r>
        <w:rPr>
          <w:rFonts w:hint="eastAsia" w:ascii="宋体" w:hAnsi="宋体" w:eastAsia="宋体" w:cs="宋体"/>
          <w:color w:val="auto"/>
          <w:sz w:val="32"/>
          <w:szCs w:val="32"/>
          <w:highlight w:val="none"/>
          <w:shd w:val="clear" w:color="auto" w:fill="auto"/>
        </w:rPr>
        <w:t xml:space="preserve">十</w:t>
      </w:r>
      <w:r>
        <w:rPr>
          <w:rFonts w:hint="eastAsia" w:ascii="宋体" w:hAnsi="宋体" w:eastAsia="宋体" w:cs="宋体"/>
          <w:color w:val="auto"/>
          <w:sz w:val="32"/>
          <w:szCs w:val="32"/>
          <w:highlight w:val="none"/>
          <w:shd w:val="clear" w:color="auto" w:fill="auto"/>
          <w:lang w:val="en-US" w:eastAsia="zh-CN"/>
        </w:rPr>
        <w:t xml:space="preserve">五</w:t>
      </w:r>
      <w:r>
        <w:rPr>
          <w:rFonts w:hint="eastAsia" w:ascii="宋体" w:hAnsi="宋体" w:eastAsia="宋体" w:cs="宋体"/>
          <w:color w:val="auto"/>
          <w:sz w:val="32"/>
          <w:szCs w:val="32"/>
          <w:highlight w:val="none"/>
          <w:shd w:val="clear" w:color="auto" w:fill="auto"/>
        </w:rPr>
        <w:t xml:space="preserve">、</w:t>
      </w:r>
      <w:r>
        <w:rPr>
          <w:rFonts w:hint="eastAsia" w:ascii="宋体" w:hAnsi="宋体" w:eastAsia="宋体" w:cs="宋体"/>
          <w:color w:val="000000" w:themeColor="text1"/>
          <w:sz w:val="36"/>
          <w:szCs w:val="36"/>
          <w14:textFill>
            <w14:solidFill>
              <w14:schemeClr w14:val="tx1"/>
            </w14:solidFill>
          </w14:textFill>
        </w:rPr>
        <w:t xml:space="preserve">拟派项目负责人简历表</w:t>
      </w:r>
      <w:r/>
    </w:p>
    <w:tbl>
      <w:tblPr>
        <w:tblStyle w:val="8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37"/>
        <w:gridCol w:w="1403"/>
        <w:gridCol w:w="1437"/>
        <w:gridCol w:w="1403"/>
        <w:gridCol w:w="1438"/>
        <w:gridCol w:w="1404"/>
      </w:tblGrid>
      <w:tr>
        <w:trPr/>
        <w:tc>
          <w:tcPr>
            <w:tcW w:w="1510" w:type="dxa"/>
            <w:textDirection w:val="lrTb"/>
            <w:noWrap w:val="false"/>
          </w:tcPr>
          <w:p>
            <w:pPr>
              <w:ind w:firstLine="210"/>
              <w:widowControl w:val="off"/>
              <w:rPr>
                <w:rFonts w:hint="eastAsia" w:ascii="宋体" w:hAnsi="宋体" w:cs="宋体"/>
              </w:rPr>
            </w:pPr>
            <w:r>
              <w:rPr>
                <w:rFonts w:hint="eastAsia" w:ascii="宋体" w:hAnsi="宋体" w:cs="宋体"/>
              </w:rPr>
            </w:r>
            <w:r/>
          </w:p>
          <w:p>
            <w:pPr>
              <w:ind w:firstLine="210"/>
              <w:widowControl w:val="off"/>
              <w:rPr>
                <w:rFonts w:hint="eastAsia" w:ascii="宋体" w:hAnsi="宋体" w:cs="宋体"/>
              </w:rPr>
            </w:pPr>
            <w:r>
              <w:rPr>
                <w:rFonts w:hint="eastAsia" w:ascii="宋体" w:hAnsi="宋体" w:cs="宋体"/>
              </w:rPr>
              <w:t xml:space="preserve">姓名 </w:t>
            </w:r>
            <w:r/>
          </w:p>
        </w:tc>
        <w:tc>
          <w:tcPr>
            <w:tcW w:w="1510" w:type="dxa"/>
            <w:textDirection w:val="lrTb"/>
            <w:noWrap w:val="false"/>
          </w:tcPr>
          <w:p>
            <w:pPr>
              <w:widowControl w:val="off"/>
              <w:rPr>
                <w:rFonts w:hint="eastAsia" w:ascii="宋体" w:hAnsi="宋体" w:cs="宋体"/>
              </w:rPr>
            </w:pPr>
            <w:r>
              <w:rPr>
                <w:rFonts w:hint="eastAsia" w:ascii="宋体" w:hAnsi="宋体" w:cs="宋体"/>
              </w:rPr>
            </w:r>
            <w:r/>
          </w:p>
        </w:tc>
        <w:tc>
          <w:tcPr>
            <w:tcW w:w="1510" w:type="dxa"/>
            <w:textDirection w:val="lrTb"/>
            <w:noWrap w:val="false"/>
          </w:tcPr>
          <w:p>
            <w:pPr>
              <w:ind w:firstLine="210"/>
              <w:widowControl w:val="off"/>
              <w:rPr>
                <w:rFonts w:hint="eastAsia" w:ascii="宋体" w:hAnsi="宋体" w:cs="宋体"/>
              </w:rPr>
            </w:pPr>
            <w:r>
              <w:rPr>
                <w:rFonts w:hint="eastAsia" w:ascii="宋体" w:hAnsi="宋体" w:cs="宋体"/>
              </w:rPr>
            </w:r>
            <w:r/>
          </w:p>
          <w:p>
            <w:pPr>
              <w:ind w:firstLine="210"/>
              <w:widowControl w:val="off"/>
              <w:rPr>
                <w:rFonts w:hint="eastAsia" w:ascii="宋体" w:hAnsi="宋体" w:cs="宋体"/>
              </w:rPr>
            </w:pPr>
            <w:r>
              <w:rPr>
                <w:rFonts w:hint="eastAsia" w:ascii="宋体" w:hAnsi="宋体" w:cs="宋体"/>
              </w:rPr>
              <w:t xml:space="preserve">性别 </w:t>
            </w:r>
            <w:r/>
          </w:p>
        </w:tc>
        <w:tc>
          <w:tcPr>
            <w:tcW w:w="1510" w:type="dxa"/>
            <w:textDirection w:val="lrTb"/>
            <w:noWrap w:val="false"/>
          </w:tcPr>
          <w:p>
            <w:pPr>
              <w:widowControl w:val="off"/>
              <w:rPr>
                <w:rFonts w:hint="eastAsia" w:ascii="宋体" w:hAnsi="宋体" w:cs="宋体"/>
              </w:rPr>
            </w:pPr>
            <w:r>
              <w:rPr>
                <w:rFonts w:hint="eastAsia" w:ascii="宋体" w:hAnsi="宋体" w:cs="宋体"/>
              </w:rPr>
            </w:r>
            <w:r/>
          </w:p>
        </w:tc>
        <w:tc>
          <w:tcPr>
            <w:tcW w:w="1511" w:type="dxa"/>
            <w:textDirection w:val="lrTb"/>
            <w:noWrap w:val="false"/>
          </w:tcPr>
          <w:p>
            <w:pPr>
              <w:ind w:firstLine="210"/>
              <w:widowControl w:val="off"/>
              <w:rPr>
                <w:rFonts w:hint="eastAsia" w:ascii="宋体" w:hAnsi="宋体" w:cs="宋体"/>
              </w:rPr>
            </w:pPr>
            <w:r>
              <w:rPr>
                <w:rFonts w:hint="eastAsia" w:ascii="宋体" w:hAnsi="宋体" w:cs="宋体"/>
              </w:rPr>
            </w:r>
            <w:r/>
          </w:p>
          <w:p>
            <w:pPr>
              <w:ind w:firstLine="210"/>
              <w:widowControl w:val="off"/>
              <w:rPr>
                <w:rFonts w:hint="eastAsia" w:ascii="宋体" w:hAnsi="宋体" w:cs="宋体"/>
              </w:rPr>
            </w:pPr>
            <w:r>
              <w:rPr>
                <w:rFonts w:hint="eastAsia" w:ascii="宋体" w:hAnsi="宋体" w:cs="宋体"/>
              </w:rPr>
              <w:t xml:space="preserve">年龄</w:t>
            </w:r>
            <w:r/>
          </w:p>
        </w:tc>
        <w:tc>
          <w:tcPr>
            <w:tcW w:w="1511" w:type="dxa"/>
            <w:textDirection w:val="lrTb"/>
            <w:noWrap w:val="false"/>
          </w:tcPr>
          <w:p>
            <w:pPr>
              <w:pStyle w:val="816"/>
              <w:widowControl w:val="off"/>
              <w:rPr>
                <w:rFonts w:hint="eastAsia" w:ascii="宋体" w:hAnsi="宋体" w:eastAsia="宋体" w:cs="宋体"/>
              </w:rPr>
              <w:outlineLvl w:val="3"/>
            </w:pPr>
            <w:r>
              <w:rPr>
                <w:rFonts w:hint="eastAsia" w:ascii="宋体" w:hAnsi="宋体" w:eastAsia="宋体" w:cs="宋体"/>
              </w:rPr>
            </w:r>
            <w:r/>
          </w:p>
        </w:tc>
      </w:tr>
      <w:tr>
        <w:trPr/>
        <w:tc>
          <w:tcPr>
            <w:tcW w:w="1510" w:type="dxa"/>
            <w:textDirection w:val="lrTb"/>
            <w:noWrap w:val="false"/>
          </w:tcPr>
          <w:p>
            <w:pPr>
              <w:widowControl w:val="off"/>
              <w:rPr>
                <w:rFonts w:hint="eastAsia" w:ascii="宋体" w:hAnsi="宋体" w:cs="宋体"/>
              </w:rPr>
            </w:pPr>
            <w:r>
              <w:rPr>
                <w:rFonts w:hint="eastAsia" w:ascii="宋体" w:hAnsi="宋体" w:cs="宋体"/>
              </w:rPr>
            </w:r>
            <w:r/>
          </w:p>
          <w:p>
            <w:pPr>
              <w:ind w:firstLine="210"/>
              <w:widowControl w:val="off"/>
              <w:rPr>
                <w:rFonts w:hint="eastAsia" w:ascii="宋体" w:hAnsi="宋体" w:cs="宋体"/>
              </w:rPr>
            </w:pPr>
            <w:r>
              <w:rPr>
                <w:rFonts w:hint="eastAsia" w:ascii="宋体" w:hAnsi="宋体" w:cs="宋体"/>
              </w:rPr>
              <w:t xml:space="preserve">学历 </w:t>
            </w:r>
            <w:r/>
          </w:p>
        </w:tc>
        <w:tc>
          <w:tcPr>
            <w:tcW w:w="1510" w:type="dxa"/>
            <w:textDirection w:val="lrTb"/>
            <w:noWrap w:val="false"/>
          </w:tcPr>
          <w:p>
            <w:pPr>
              <w:widowControl w:val="off"/>
              <w:rPr>
                <w:rFonts w:hint="eastAsia" w:ascii="宋体" w:hAnsi="宋体" w:cs="宋体"/>
              </w:rPr>
            </w:pPr>
            <w:r>
              <w:rPr>
                <w:rFonts w:hint="eastAsia" w:ascii="宋体" w:hAnsi="宋体" w:cs="宋体"/>
              </w:rPr>
            </w:r>
            <w:r/>
          </w:p>
        </w:tc>
        <w:tc>
          <w:tcPr>
            <w:tcW w:w="1510" w:type="dxa"/>
            <w:textDirection w:val="lrTb"/>
            <w:noWrap w:val="false"/>
          </w:tcPr>
          <w:p>
            <w:pPr>
              <w:ind w:firstLine="210"/>
              <w:widowControl w:val="off"/>
              <w:rPr>
                <w:rFonts w:hint="eastAsia" w:ascii="宋体" w:hAnsi="宋体" w:cs="宋体"/>
              </w:rPr>
            </w:pPr>
            <w:r>
              <w:rPr>
                <w:rFonts w:hint="eastAsia" w:ascii="宋体" w:hAnsi="宋体" w:cs="宋体"/>
              </w:rPr>
            </w:r>
            <w:r/>
          </w:p>
          <w:p>
            <w:pPr>
              <w:ind w:firstLine="210"/>
              <w:widowControl w:val="off"/>
              <w:rPr>
                <w:rFonts w:hint="eastAsia" w:ascii="宋体" w:hAnsi="宋体" w:cs="宋体"/>
              </w:rPr>
            </w:pPr>
            <w:r>
              <w:rPr>
                <w:rFonts w:hint="eastAsia" w:ascii="宋体" w:hAnsi="宋体" w:cs="宋体"/>
              </w:rPr>
              <w:t xml:space="preserve">专业 </w:t>
            </w:r>
            <w:r/>
          </w:p>
        </w:tc>
        <w:tc>
          <w:tcPr>
            <w:tcW w:w="1510" w:type="dxa"/>
            <w:textDirection w:val="lrTb"/>
            <w:noWrap w:val="false"/>
          </w:tcPr>
          <w:p>
            <w:pPr>
              <w:widowControl w:val="off"/>
              <w:rPr>
                <w:rFonts w:hint="eastAsia" w:ascii="宋体" w:hAnsi="宋体" w:cs="宋体"/>
              </w:rPr>
            </w:pPr>
            <w:r>
              <w:rPr>
                <w:rFonts w:hint="eastAsia" w:ascii="宋体" w:hAnsi="宋体" w:cs="宋体"/>
              </w:rPr>
            </w:r>
            <w:r/>
          </w:p>
        </w:tc>
        <w:tc>
          <w:tcPr>
            <w:tcW w:w="1511" w:type="dxa"/>
            <w:textDirection w:val="lrTb"/>
            <w:noWrap w:val="false"/>
          </w:tcPr>
          <w:p>
            <w:pPr>
              <w:ind w:firstLine="210"/>
              <w:widowControl w:val="off"/>
              <w:rPr>
                <w:rFonts w:hint="eastAsia" w:ascii="宋体" w:hAnsi="宋体" w:cs="宋体"/>
              </w:rPr>
            </w:pPr>
            <w:r>
              <w:rPr>
                <w:rFonts w:hint="eastAsia" w:ascii="宋体" w:hAnsi="宋体" w:cs="宋体"/>
              </w:rPr>
            </w:r>
            <w:r/>
          </w:p>
          <w:p>
            <w:pPr>
              <w:ind w:firstLine="210"/>
              <w:widowControl w:val="off"/>
              <w:rPr>
                <w:rFonts w:hint="eastAsia" w:ascii="宋体" w:hAnsi="宋体" w:cs="宋体"/>
              </w:rPr>
            </w:pPr>
            <w:r>
              <w:rPr>
                <w:rFonts w:hint="eastAsia" w:ascii="宋体" w:hAnsi="宋体" w:cs="宋体"/>
              </w:rPr>
              <w:t xml:space="preserve">现任职务</w:t>
            </w:r>
            <w:r/>
          </w:p>
        </w:tc>
        <w:tc>
          <w:tcPr>
            <w:tcW w:w="1511" w:type="dxa"/>
            <w:textDirection w:val="lrTb"/>
            <w:noWrap w:val="false"/>
          </w:tcPr>
          <w:p>
            <w:pPr>
              <w:pStyle w:val="816"/>
              <w:widowControl w:val="off"/>
              <w:rPr>
                <w:rFonts w:hint="eastAsia" w:ascii="宋体" w:hAnsi="宋体" w:eastAsia="宋体" w:cs="宋体"/>
              </w:rPr>
              <w:outlineLvl w:val="3"/>
            </w:pPr>
            <w:r>
              <w:rPr>
                <w:rFonts w:hint="eastAsia" w:ascii="宋体" w:hAnsi="宋体" w:eastAsia="宋体" w:cs="宋体"/>
              </w:rPr>
            </w:r>
            <w:r/>
          </w:p>
        </w:tc>
      </w:tr>
      <w:tr>
        <w:trPr>
          <w:trHeight w:val="517"/>
        </w:trPr>
        <w:tc>
          <w:tcPr>
            <w:tcW w:w="1510" w:type="dxa"/>
            <w:textDirection w:val="lrTb"/>
            <w:noWrap w:val="false"/>
          </w:tcPr>
          <w:p>
            <w:pPr>
              <w:widowControl w:val="off"/>
              <w:rPr>
                <w:rFonts w:hint="eastAsia" w:ascii="宋体" w:hAnsi="宋体" w:cs="宋体"/>
              </w:rPr>
            </w:pPr>
            <w:r>
              <w:rPr>
                <w:rFonts w:hint="eastAsia" w:ascii="宋体" w:hAnsi="宋体" w:cs="宋体"/>
              </w:rPr>
            </w:r>
            <w:r/>
          </w:p>
          <w:p>
            <w:pPr>
              <w:ind w:firstLine="210"/>
              <w:widowControl w:val="off"/>
              <w:rPr>
                <w:rFonts w:hint="eastAsia" w:ascii="宋体" w:hAnsi="宋体" w:cs="宋体"/>
              </w:rPr>
            </w:pPr>
            <w:r>
              <w:rPr>
                <w:rFonts w:hint="eastAsia" w:ascii="宋体" w:hAnsi="宋体" w:cs="宋体"/>
              </w:rPr>
              <w:t xml:space="preserve">技术职称 </w:t>
            </w:r>
            <w:r/>
          </w:p>
        </w:tc>
        <w:tc>
          <w:tcPr>
            <w:tcW w:w="1510" w:type="dxa"/>
            <w:textDirection w:val="lrTb"/>
            <w:noWrap w:val="false"/>
          </w:tcPr>
          <w:p>
            <w:pPr>
              <w:widowControl w:val="off"/>
              <w:rPr>
                <w:rFonts w:hint="eastAsia" w:ascii="宋体" w:hAnsi="宋体" w:cs="宋体"/>
              </w:rPr>
            </w:pPr>
            <w:r>
              <w:rPr>
                <w:rFonts w:hint="eastAsia" w:ascii="宋体" w:hAnsi="宋体" w:cs="宋体"/>
              </w:rPr>
            </w:r>
            <w:r/>
          </w:p>
        </w:tc>
        <w:tc>
          <w:tcPr>
            <w:tcW w:w="1510" w:type="dxa"/>
            <w:textDirection w:val="lrTb"/>
            <w:noWrap w:val="false"/>
          </w:tcPr>
          <w:p>
            <w:pPr>
              <w:widowControl w:val="off"/>
              <w:rPr>
                <w:rFonts w:hint="eastAsia" w:ascii="宋体" w:hAnsi="宋体" w:cs="宋体"/>
              </w:rPr>
            </w:pPr>
            <w:r>
              <w:rPr>
                <w:rFonts w:hint="eastAsia" w:ascii="宋体" w:hAnsi="宋体" w:cs="宋体"/>
              </w:rPr>
            </w:r>
            <w:r/>
          </w:p>
          <w:p>
            <w:pPr>
              <w:widowControl w:val="off"/>
              <w:rPr>
                <w:rFonts w:hint="eastAsia" w:ascii="宋体" w:hAnsi="宋体" w:cs="宋体"/>
              </w:rPr>
            </w:pPr>
            <w:r>
              <w:rPr>
                <w:rFonts w:hint="eastAsia" w:ascii="宋体" w:hAnsi="宋体" w:cs="宋体"/>
              </w:rPr>
              <w:t xml:space="preserve">拟任职务 </w:t>
            </w:r>
            <w:r/>
          </w:p>
        </w:tc>
        <w:tc>
          <w:tcPr>
            <w:tcW w:w="1510" w:type="dxa"/>
            <w:textDirection w:val="lrTb"/>
            <w:noWrap w:val="false"/>
          </w:tcPr>
          <w:p>
            <w:pPr>
              <w:widowControl w:val="off"/>
              <w:rPr>
                <w:rFonts w:hint="eastAsia" w:ascii="宋体" w:hAnsi="宋体" w:cs="宋体"/>
              </w:rPr>
            </w:pPr>
            <w:r>
              <w:rPr>
                <w:rFonts w:hint="eastAsia" w:ascii="宋体" w:hAnsi="宋体" w:cs="宋体"/>
              </w:rPr>
            </w:r>
            <w:r/>
          </w:p>
        </w:tc>
        <w:tc>
          <w:tcPr>
            <w:tcW w:w="1511" w:type="dxa"/>
            <w:textDirection w:val="lrTb"/>
            <w:noWrap w:val="false"/>
          </w:tcPr>
          <w:p>
            <w:pPr>
              <w:ind w:firstLine="210"/>
              <w:widowControl w:val="off"/>
              <w:rPr>
                <w:rFonts w:hint="eastAsia" w:ascii="宋体" w:hAnsi="宋体" w:cs="宋体"/>
              </w:rPr>
            </w:pPr>
            <w:r>
              <w:rPr>
                <w:rFonts w:hint="eastAsia" w:ascii="宋体" w:hAnsi="宋体" w:cs="宋体"/>
              </w:rPr>
            </w:r>
            <w:r/>
          </w:p>
          <w:p>
            <w:pPr>
              <w:ind w:firstLine="210"/>
              <w:widowControl w:val="off"/>
              <w:rPr>
                <w:rFonts w:hint="eastAsia" w:ascii="宋体" w:hAnsi="宋体" w:eastAsia="宋体" w:cs="宋体"/>
                <w:lang w:eastAsia="zh-CN"/>
              </w:rPr>
            </w:pPr>
            <w:r>
              <w:rPr>
                <w:rFonts w:hint="eastAsia" w:ascii="宋体" w:hAnsi="宋体" w:cs="宋体"/>
                <w:lang w:eastAsia="zh-CN"/>
              </w:rPr>
              <w:t xml:space="preserve">联系方式</w:t>
            </w:r>
            <w:r/>
          </w:p>
        </w:tc>
        <w:tc>
          <w:tcPr>
            <w:tcW w:w="1511" w:type="dxa"/>
            <w:textDirection w:val="lrTb"/>
            <w:noWrap w:val="false"/>
          </w:tcPr>
          <w:p>
            <w:pPr>
              <w:pStyle w:val="816"/>
              <w:widowControl w:val="off"/>
              <w:rPr>
                <w:rFonts w:hint="eastAsia" w:ascii="宋体" w:hAnsi="宋体" w:eastAsia="宋体" w:cs="宋体"/>
              </w:rPr>
              <w:outlineLvl w:val="3"/>
            </w:pPr>
            <w:r>
              <w:rPr>
                <w:rFonts w:hint="eastAsia" w:ascii="宋体" w:hAnsi="宋体" w:eastAsia="宋体" w:cs="宋体"/>
              </w:rPr>
            </w:r>
            <w:r/>
          </w:p>
        </w:tc>
      </w:tr>
      <w:tr>
        <w:trPr>
          <w:trHeight w:val="3552"/>
        </w:trPr>
        <w:tc>
          <w:tcPr>
            <w:tcW w:w="1510" w:type="dxa"/>
            <w:textDirection w:val="lrTb"/>
            <w:noWrap w:val="false"/>
          </w:tcPr>
          <w:p>
            <w:pPr>
              <w:ind w:firstLine="1260"/>
              <w:widowControl w:val="off"/>
              <w:rPr>
                <w:rFonts w:hint="eastAsia" w:ascii="宋体" w:hAnsi="宋体" w:cs="宋体"/>
              </w:rPr>
            </w:pPr>
            <w:r>
              <w:rPr>
                <w:rFonts w:hint="eastAsia" w:ascii="宋体" w:hAnsi="宋体" w:cs="宋体"/>
              </w:rPr>
            </w:r>
            <w:r/>
          </w:p>
          <w:p>
            <w:pPr>
              <w:ind w:firstLine="1260"/>
              <w:widowControl w:val="off"/>
              <w:rPr>
                <w:rFonts w:hint="eastAsia" w:ascii="宋体" w:hAnsi="宋体" w:cs="宋体"/>
              </w:rPr>
            </w:pPr>
            <w:r>
              <w:rPr>
                <w:rFonts w:hint="eastAsia" w:ascii="宋体" w:hAnsi="宋体" w:cs="宋体"/>
              </w:rPr>
            </w:r>
            <w:r/>
          </w:p>
          <w:p>
            <w:pPr>
              <w:ind w:firstLine="1260"/>
              <w:widowControl w:val="off"/>
              <w:rPr>
                <w:rFonts w:hint="eastAsia" w:ascii="宋体" w:hAnsi="宋体" w:cs="宋体"/>
              </w:rPr>
            </w:pPr>
            <w:r>
              <w:rPr>
                <w:rFonts w:hint="eastAsia" w:ascii="宋体" w:hAnsi="宋体" w:cs="宋体"/>
              </w:rPr>
            </w:r>
            <w:r/>
          </w:p>
          <w:p>
            <w:pPr>
              <w:widowControl w:val="off"/>
              <w:rPr>
                <w:rFonts w:hint="eastAsia" w:ascii="宋体" w:hAnsi="宋体" w:cs="宋体"/>
              </w:rPr>
            </w:pPr>
            <w:r>
              <w:rPr>
                <w:rFonts w:hint="eastAsia" w:ascii="宋体" w:hAnsi="宋体" w:cs="宋体"/>
              </w:rPr>
            </w:r>
            <w:r/>
          </w:p>
          <w:p>
            <w:pPr>
              <w:widowControl w:val="off"/>
              <w:rPr>
                <w:rFonts w:hint="eastAsia" w:ascii="宋体" w:hAnsi="宋体" w:cs="宋体"/>
              </w:rPr>
            </w:pPr>
            <w:r>
              <w:rPr>
                <w:rFonts w:hint="eastAsia" w:ascii="宋体" w:hAnsi="宋体" w:cs="宋体"/>
              </w:rPr>
            </w:r>
            <w:r/>
          </w:p>
          <w:p>
            <w:pPr>
              <w:widowControl w:val="off"/>
              <w:rPr>
                <w:rFonts w:hint="eastAsia" w:ascii="宋体" w:hAnsi="宋体" w:cs="宋体"/>
              </w:rPr>
            </w:pPr>
            <w:r>
              <w:rPr>
                <w:rFonts w:hint="eastAsia" w:ascii="宋体" w:hAnsi="宋体" w:cs="宋体"/>
              </w:rPr>
              <w:t xml:space="preserve">主要业绩及经历</w:t>
            </w:r>
            <w:r/>
          </w:p>
        </w:tc>
        <w:tc>
          <w:tcPr>
            <w:gridSpan w:val="5"/>
            <w:tcW w:w="7552" w:type="dxa"/>
            <w:textDirection w:val="lrTb"/>
            <w:noWrap w:val="false"/>
          </w:tcPr>
          <w:p>
            <w:pPr>
              <w:pStyle w:val="816"/>
              <w:widowControl w:val="off"/>
              <w:rPr>
                <w:rFonts w:hint="eastAsia" w:ascii="宋体" w:hAnsi="宋体" w:eastAsia="宋体" w:cs="宋体"/>
              </w:rPr>
              <w:outlineLvl w:val="3"/>
            </w:pPr>
            <w:r>
              <w:rPr>
                <w:rFonts w:hint="eastAsia" w:ascii="宋体" w:hAnsi="宋体" w:eastAsia="宋体" w:cs="宋体"/>
              </w:rPr>
            </w:r>
            <w:r/>
          </w:p>
        </w:tc>
      </w:tr>
    </w:tbl>
    <w:p>
      <w:pPr>
        <w:pStyle w:val="816"/>
        <w:spacing w:line="240" w:lineRule="auto"/>
        <w:rPr>
          <w:rFonts w:hint="eastAsia" w:ascii="宋体" w:hAnsi="宋体" w:eastAsia="宋体" w:cs="宋体"/>
          <w:b w:val="0"/>
          <w:sz w:val="24"/>
          <w:lang w:eastAsia="zh-CN"/>
        </w:rPr>
      </w:pPr>
      <w:r>
        <w:rPr>
          <w:rFonts w:hint="eastAsia" w:ascii="宋体" w:hAnsi="宋体" w:eastAsia="宋体" w:cs="宋体"/>
          <w:b w:val="0"/>
          <w:sz w:val="24"/>
        </w:rPr>
        <w:t xml:space="preserve">注：本表附本人身份证、职称证件、毕业证(学位证)等复印件，各种证件</w:t>
      </w:r>
      <w:r>
        <w:rPr>
          <w:rFonts w:hint="eastAsia" w:ascii="宋体" w:hAnsi="宋体" w:eastAsia="宋体" w:cs="宋体"/>
          <w:b w:val="0"/>
          <w:sz w:val="24"/>
          <w:lang w:val="en-US" w:eastAsia="zh-CN"/>
        </w:rPr>
        <w:t xml:space="preserve">复印件</w:t>
      </w:r>
      <w:r>
        <w:rPr>
          <w:rFonts w:hint="eastAsia" w:ascii="宋体" w:hAnsi="宋体" w:eastAsia="宋体" w:cs="宋体"/>
          <w:b w:val="0"/>
          <w:sz w:val="24"/>
        </w:rPr>
        <w:t xml:space="preserve">。</w:t>
      </w:r>
      <w:r>
        <w:rPr>
          <w:rFonts w:hint="eastAsia" w:ascii="宋体" w:hAnsi="宋体" w:eastAsia="宋体" w:cs="宋体"/>
          <w:b w:val="0"/>
          <w:sz w:val="24"/>
          <w:lang w:eastAsia="zh-CN"/>
        </w:rPr>
        <w:t xml:space="preserve">（</w:t>
      </w:r>
      <w:r>
        <w:rPr>
          <w:rFonts w:hint="eastAsia" w:ascii="宋体" w:hAnsi="宋体" w:eastAsia="宋体" w:cs="宋体"/>
          <w:b w:val="0"/>
          <w:sz w:val="24"/>
          <w:lang w:val="en-US" w:eastAsia="zh-CN"/>
        </w:rPr>
        <w:t xml:space="preserve">如有</w:t>
      </w:r>
      <w:r>
        <w:rPr>
          <w:rFonts w:hint="eastAsia" w:ascii="宋体" w:hAnsi="宋体" w:eastAsia="宋体" w:cs="宋体"/>
          <w:b w:val="0"/>
          <w:sz w:val="24"/>
          <w:lang w:eastAsia="zh-CN"/>
        </w:rPr>
        <w:t xml:space="preserve">）</w:t>
      </w:r>
      <w:r/>
    </w:p>
    <w:p>
      <w:pPr>
        <w:jc w:val="center"/>
        <w:spacing w:line="360" w:lineRule="auto"/>
        <w:rPr>
          <w:rFonts w:hint="eastAsia" w:ascii="宋体" w:hAnsi="宋体" w:eastAsia="宋体" w:cs="宋体"/>
          <w:color w:val="000000" w:themeColor="text1"/>
          <w:sz w:val="36"/>
          <w:szCs w:val="36"/>
          <w14:textFill>
            <w14:solidFill>
              <w14:schemeClr w14:val="tx1"/>
            </w14:solidFill>
          </w14:textFill>
        </w:rPr>
      </w:pPr>
      <w:r>
        <w:rPr>
          <w:rFonts w:hint="eastAsia" w:ascii="宋体" w:hAnsi="宋体" w:eastAsia="宋体" w:cs="宋体"/>
          <w:color w:val="000000" w:themeColor="text1"/>
          <w:sz w:val="36"/>
          <w:szCs w:val="36"/>
          <w14:textFill>
            <w14:solidFill>
              <w14:schemeClr w14:val="tx1"/>
            </w14:solidFill>
          </w14:textFill>
        </w:rPr>
      </w:r>
      <w:r/>
    </w:p>
    <w:p>
      <w:pPr>
        <w:ind w:firstLine="2520"/>
        <w:spacing w:line="460" w:lineRule="exact"/>
        <w:rPr>
          <w:rStyle w:val="837"/>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jc w:val="center"/>
        <w:spacing w:before="50" w:after="50"/>
        <w:widowControl/>
        <w:rPr>
          <w:rFonts w:ascii="宋体" w:hAnsi="宋体" w:eastAsia="宋体" w:cs="宋体"/>
          <w:color w:val="auto"/>
          <w:sz w:val="24"/>
          <w:highlight w:val="none"/>
          <w:shd w:val="clear" w:color="auto" w:fill="auto"/>
        </w:rPr>
      </w:pPr>
      <w:r>
        <w:rPr>
          <w:rFonts w:ascii="宋体" w:hAnsi="宋体" w:eastAsia="宋体" w:cs="宋体"/>
          <w:color w:val="auto"/>
          <w:sz w:val="24"/>
          <w:highlight w:val="none"/>
          <w:shd w:val="clear" w:color="auto" w:fill="auto"/>
        </w:rPr>
      </w:r>
      <w:r/>
    </w:p>
    <w:p>
      <w:pPr>
        <w:pStyle w:val="824"/>
        <w:jc w:val="both"/>
        <w:spacing w:beforeAutospacing="0" w:afterAutospacing="0"/>
        <w:tabs>
          <w:tab w:val="left" w:pos="2160" w:leader="none"/>
        </w:tabs>
        <w:rPr>
          <w:color w:val="auto"/>
          <w:highlight w:val="none"/>
          <w:shd w:val="clear" w:color="auto" w:fill="auto"/>
        </w:rPr>
      </w:pPr>
      <w:r>
        <w:rPr>
          <w:color w:val="auto"/>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jc w:val="center"/>
        <w:spacing w:before="156" w:after="156" w:line="360" w:lineRule="auto"/>
        <w:tabs>
          <w:tab w:val="left" w:pos="255" w:leader="none"/>
        </w:tabs>
        <w:rPr>
          <w:rFonts w:hint="eastAsia" w:ascii="黑体" w:hAnsi="黑体" w:eastAsia="黑体"/>
          <w:sz w:val="28"/>
          <w:szCs w:val="21"/>
          <w:lang w:val="zh-CN"/>
        </w:rPr>
      </w:pPr>
      <w:r>
        <w:rPr>
          <w:rFonts w:hint="eastAsia" w:ascii="黑体" w:hAnsi="黑体" w:eastAsia="黑体"/>
          <w:sz w:val="28"/>
          <w:szCs w:val="21"/>
          <w:lang w:val="en-US" w:eastAsia="zh-CN"/>
        </w:rPr>
        <w:t xml:space="preserve">十六、</w:t>
      </w:r>
      <w:r>
        <w:rPr>
          <w:rFonts w:hint="eastAsia" w:ascii="黑体" w:hAnsi="黑体" w:eastAsia="黑体"/>
          <w:sz w:val="28"/>
          <w:szCs w:val="21"/>
          <w:lang w:val="zh-CN"/>
        </w:rPr>
        <w:t xml:space="preserve">项目人员配置清单</w:t>
      </w:r>
      <w:r/>
    </w:p>
    <w:p>
      <w:pPr>
        <w:spacing w:line="360" w:lineRule="auto"/>
        <w:tabs>
          <w:tab w:val="left" w:pos="255" w:leader="none"/>
        </w:tabs>
        <w:rPr>
          <w:rFonts w:hint="eastAsia" w:ascii="宋体" w:hAnsi="宋体"/>
          <w:bCs/>
          <w:sz w:val="24"/>
          <w:szCs w:val="24"/>
          <w:lang w:val="zh-CN"/>
        </w:rPr>
      </w:pPr>
      <w:r>
        <w:rPr>
          <w:rFonts w:hint="eastAsia" w:ascii="宋体" w:hAnsi="宋体"/>
          <w:sz w:val="24"/>
          <w:szCs w:val="21"/>
          <w:lang w:val="zh-CN"/>
        </w:rPr>
        <w:t xml:space="preserve">  项目编号：</w:t>
      </w:r>
      <w:r>
        <w:rPr>
          <w:rFonts w:hint="eastAsia" w:ascii="宋体" w:hAnsi="宋体" w:cs="宋体"/>
          <w:bCs/>
          <w:sz w:val="24"/>
          <w:szCs w:val="24"/>
          <w:lang w:val="en-US" w:eastAsia="zh-CN"/>
        </w:rPr>
        <w:t xml:space="preserve"> </w:t>
      </w:r>
      <w:r>
        <w:rPr>
          <w:rFonts w:hint="eastAsia" w:ascii="宋体" w:hAnsi="宋体"/>
          <w:sz w:val="24"/>
          <w:szCs w:val="21"/>
          <w:lang w:val="zh-CN"/>
        </w:rPr>
        <w:t xml:space="preserve">                                 日期：</w:t>
      </w:r>
      <w:r/>
    </w:p>
    <w:tbl>
      <w:tblPr>
        <w:tblStyle w:val="818"/>
        <w:tblW w:w="88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1688"/>
        <w:gridCol w:w="850"/>
        <w:gridCol w:w="1062"/>
        <w:gridCol w:w="1400"/>
        <w:gridCol w:w="1090"/>
        <w:gridCol w:w="2185"/>
      </w:tblGrid>
      <w:tr>
        <w:trPr>
          <w:jc w:val="center"/>
          <w:trHeight w:val="607"/>
        </w:trPr>
        <w:tc>
          <w:tcPr>
            <w:tcW w:w="535" w:type="dxa"/>
            <w:vAlign w:val="center"/>
            <w:textDirection w:val="lrTb"/>
            <w:noWrap w:val="false"/>
          </w:tcPr>
          <w:p>
            <w:pPr>
              <w:jc w:val="center"/>
              <w:rPr>
                <w:rFonts w:hint="eastAsia"/>
                <w:b/>
                <w:sz w:val="24"/>
              </w:rPr>
            </w:pPr>
            <w:r>
              <w:rPr>
                <w:rFonts w:hint="eastAsia" w:ascii="宋体" w:hAnsi="宋体"/>
                <w:b/>
                <w:sz w:val="24"/>
              </w:rPr>
              <w:t xml:space="preserve">序号</w:t>
            </w:r>
            <w:r/>
          </w:p>
        </w:tc>
        <w:tc>
          <w:tcPr>
            <w:tcW w:w="1688" w:type="dxa"/>
            <w:vAlign w:val="center"/>
            <w:textDirection w:val="lrTb"/>
            <w:noWrap w:val="false"/>
          </w:tcPr>
          <w:p>
            <w:pPr>
              <w:jc w:val="center"/>
              <w:rPr>
                <w:rFonts w:hint="eastAsia"/>
                <w:b/>
                <w:sz w:val="24"/>
              </w:rPr>
            </w:pPr>
            <w:r>
              <w:rPr>
                <w:rFonts w:hint="eastAsia" w:ascii="宋体" w:hAnsi="宋体"/>
                <w:b/>
                <w:sz w:val="24"/>
              </w:rPr>
              <w:t xml:space="preserve">姓名</w:t>
            </w:r>
            <w:r/>
          </w:p>
        </w:tc>
        <w:tc>
          <w:tcPr>
            <w:tcW w:w="850" w:type="dxa"/>
            <w:vAlign w:val="center"/>
            <w:textDirection w:val="lrTb"/>
            <w:noWrap w:val="false"/>
          </w:tcPr>
          <w:p>
            <w:pPr>
              <w:rPr>
                <w:rFonts w:hint="eastAsia"/>
                <w:b/>
                <w:sz w:val="24"/>
              </w:rPr>
            </w:pPr>
            <w:r>
              <w:rPr>
                <w:rFonts w:hint="eastAsia" w:ascii="宋体" w:hAnsi="宋体"/>
                <w:b/>
                <w:sz w:val="24"/>
              </w:rPr>
              <w:t xml:space="preserve">性别</w:t>
            </w:r>
            <w:r/>
          </w:p>
        </w:tc>
        <w:tc>
          <w:tcPr>
            <w:tcW w:w="1062" w:type="dxa"/>
            <w:vAlign w:val="center"/>
            <w:textDirection w:val="lrTb"/>
            <w:noWrap w:val="false"/>
          </w:tcPr>
          <w:p>
            <w:pPr>
              <w:jc w:val="center"/>
              <w:rPr>
                <w:rFonts w:hint="eastAsia"/>
                <w:b/>
                <w:sz w:val="24"/>
              </w:rPr>
            </w:pPr>
            <w:r>
              <w:rPr>
                <w:rFonts w:hint="eastAsia" w:ascii="宋体" w:hAnsi="宋体"/>
                <w:b/>
                <w:sz w:val="24"/>
              </w:rPr>
              <w:t xml:space="preserve">年龄</w:t>
            </w:r>
            <w:r/>
          </w:p>
        </w:tc>
        <w:tc>
          <w:tcPr>
            <w:tcW w:w="1400" w:type="dxa"/>
            <w:vAlign w:val="center"/>
            <w:textDirection w:val="lrTb"/>
            <w:noWrap w:val="false"/>
          </w:tcPr>
          <w:p>
            <w:pPr>
              <w:jc w:val="center"/>
              <w:rPr>
                <w:rFonts w:hint="eastAsia"/>
                <w:b/>
                <w:sz w:val="24"/>
              </w:rPr>
            </w:pPr>
            <w:r>
              <w:rPr>
                <w:rFonts w:hint="eastAsia" w:ascii="宋体" w:hAnsi="宋体"/>
                <w:b/>
                <w:sz w:val="24"/>
              </w:rPr>
              <w:t xml:space="preserve">岗位名称</w:t>
            </w:r>
            <w:r/>
          </w:p>
        </w:tc>
        <w:tc>
          <w:tcPr>
            <w:tcW w:w="1090" w:type="dxa"/>
            <w:vAlign w:val="center"/>
            <w:textDirection w:val="lrTb"/>
            <w:noWrap w:val="false"/>
          </w:tcPr>
          <w:p>
            <w:pPr>
              <w:jc w:val="center"/>
              <w:rPr>
                <w:rFonts w:hint="eastAsia"/>
                <w:b/>
                <w:sz w:val="24"/>
              </w:rPr>
            </w:pPr>
            <w:r>
              <w:rPr>
                <w:rFonts w:hint="eastAsia" w:ascii="宋体" w:hAnsi="宋体"/>
                <w:b/>
                <w:sz w:val="24"/>
              </w:rPr>
              <w:t xml:space="preserve">学历</w:t>
            </w:r>
            <w:r/>
          </w:p>
        </w:tc>
        <w:tc>
          <w:tcPr>
            <w:tcW w:w="2185" w:type="dxa"/>
            <w:vAlign w:val="center"/>
            <w:textDirection w:val="lrTb"/>
            <w:noWrap w:val="false"/>
          </w:tcPr>
          <w:p>
            <w:pPr>
              <w:jc w:val="center"/>
              <w:rPr>
                <w:rFonts w:hint="eastAsia"/>
                <w:b/>
                <w:sz w:val="24"/>
              </w:rPr>
            </w:pPr>
            <w:r>
              <w:rPr>
                <w:rFonts w:hint="eastAsia" w:ascii="宋体" w:hAnsi="宋体"/>
                <w:b/>
                <w:sz w:val="24"/>
              </w:rPr>
              <w:t xml:space="preserve">资格证书编号</w:t>
            </w:r>
            <w:r/>
          </w:p>
        </w:tc>
      </w:tr>
      <w:tr>
        <w:trPr>
          <w:jc w:val="center"/>
          <w:trHeight w:val="521"/>
        </w:trPr>
        <w:tc>
          <w:tcPr>
            <w:tcW w:w="535" w:type="dxa"/>
            <w:vAlign w:val="center"/>
            <w:textDirection w:val="lrTb"/>
            <w:noWrap w:val="false"/>
          </w:tcPr>
          <w:p>
            <w:pPr>
              <w:jc w:val="center"/>
              <w:rPr>
                <w:rFonts w:hint="eastAsia" w:ascii="宋体" w:hAnsi="宋体"/>
                <w:sz w:val="24"/>
              </w:rPr>
            </w:pPr>
            <w:r>
              <w:rPr>
                <w:rFonts w:hint="eastAsia" w:ascii="宋体" w:hAnsi="宋体"/>
                <w:sz w:val="24"/>
              </w:rPr>
              <w:t xml:space="preserve">1</w:t>
            </w:r>
            <w:r/>
          </w:p>
        </w:tc>
        <w:tc>
          <w:tcPr>
            <w:tcW w:w="1688" w:type="dxa"/>
            <w:vAlign w:val="center"/>
            <w:textDirection w:val="lrTb"/>
            <w:noWrap w:val="false"/>
          </w:tcPr>
          <w:p>
            <w:pPr>
              <w:jc w:val="center"/>
              <w:rPr>
                <w:rFonts w:hint="eastAsia" w:ascii="宋体" w:hAnsi="宋体"/>
                <w:sz w:val="24"/>
              </w:rPr>
            </w:pPr>
            <w:r>
              <w:rPr>
                <w:rFonts w:hint="eastAsia" w:ascii="宋体" w:hAnsi="宋体"/>
                <w:sz w:val="24"/>
              </w:rPr>
            </w:r>
            <w:r/>
          </w:p>
        </w:tc>
        <w:tc>
          <w:tcPr>
            <w:tcW w:w="850" w:type="dxa"/>
            <w:vAlign w:val="center"/>
            <w:textDirection w:val="lrTb"/>
            <w:noWrap w:val="false"/>
          </w:tcPr>
          <w:p>
            <w:pPr>
              <w:jc w:val="center"/>
              <w:rPr>
                <w:rFonts w:hint="eastAsia" w:ascii="宋体" w:hAnsi="宋体"/>
                <w:sz w:val="24"/>
              </w:rPr>
            </w:pPr>
            <w:r>
              <w:rPr>
                <w:rFonts w:hint="eastAsia" w:ascii="宋体" w:hAnsi="宋体"/>
                <w:sz w:val="24"/>
              </w:rPr>
            </w:r>
            <w:r/>
          </w:p>
        </w:tc>
        <w:tc>
          <w:tcPr>
            <w:tcW w:w="1062" w:type="dxa"/>
            <w:vAlign w:val="center"/>
            <w:textDirection w:val="lrTb"/>
            <w:noWrap w:val="false"/>
          </w:tcPr>
          <w:p>
            <w:pPr>
              <w:jc w:val="center"/>
              <w:rPr>
                <w:rFonts w:hint="eastAsia" w:ascii="宋体" w:hAnsi="宋体"/>
                <w:sz w:val="24"/>
              </w:rPr>
            </w:pPr>
            <w:r>
              <w:rPr>
                <w:rFonts w:hint="eastAsia" w:ascii="宋体" w:hAnsi="宋体"/>
                <w:sz w:val="24"/>
              </w:rPr>
            </w:r>
            <w:r/>
          </w:p>
        </w:tc>
        <w:tc>
          <w:tcPr>
            <w:tcW w:w="1400" w:type="dxa"/>
            <w:vAlign w:val="center"/>
            <w:textDirection w:val="lrTb"/>
            <w:noWrap w:val="false"/>
          </w:tcPr>
          <w:p>
            <w:pPr>
              <w:jc w:val="center"/>
              <w:rPr>
                <w:rFonts w:hint="eastAsia" w:ascii="宋体" w:hAnsi="宋体"/>
                <w:sz w:val="24"/>
              </w:rPr>
            </w:pPr>
            <w:r>
              <w:rPr>
                <w:rFonts w:hint="eastAsia" w:ascii="宋体" w:hAnsi="宋体"/>
                <w:sz w:val="24"/>
              </w:rPr>
            </w:r>
            <w:r/>
          </w:p>
        </w:tc>
        <w:tc>
          <w:tcPr>
            <w:tcW w:w="1090" w:type="dxa"/>
            <w:vAlign w:val="center"/>
            <w:textDirection w:val="lrTb"/>
            <w:noWrap w:val="false"/>
          </w:tcPr>
          <w:p>
            <w:pPr>
              <w:jc w:val="center"/>
              <w:rPr>
                <w:rFonts w:hint="eastAsia" w:ascii="宋体" w:hAnsi="宋体"/>
                <w:sz w:val="24"/>
              </w:rPr>
            </w:pPr>
            <w:r>
              <w:rPr>
                <w:rFonts w:hint="eastAsia" w:ascii="宋体" w:hAnsi="宋体"/>
                <w:sz w:val="24"/>
              </w:rPr>
            </w:r>
            <w:r/>
          </w:p>
        </w:tc>
        <w:tc>
          <w:tcPr>
            <w:tcW w:w="2185"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457"/>
        </w:trPr>
        <w:tc>
          <w:tcPr>
            <w:tcW w:w="535" w:type="dxa"/>
            <w:vAlign w:val="center"/>
            <w:textDirection w:val="lrTb"/>
            <w:noWrap w:val="false"/>
          </w:tcPr>
          <w:p>
            <w:pPr>
              <w:jc w:val="center"/>
              <w:rPr>
                <w:rFonts w:hint="eastAsia" w:ascii="宋体" w:hAnsi="宋体"/>
                <w:sz w:val="24"/>
              </w:rPr>
            </w:pPr>
            <w:r>
              <w:rPr>
                <w:rFonts w:hint="eastAsia" w:ascii="宋体" w:hAnsi="宋体"/>
                <w:sz w:val="24"/>
              </w:rPr>
              <w:t xml:space="preserve">2</w:t>
            </w:r>
            <w:r/>
          </w:p>
        </w:tc>
        <w:tc>
          <w:tcPr>
            <w:tcW w:w="1688" w:type="dxa"/>
            <w:vAlign w:val="center"/>
            <w:textDirection w:val="lrTb"/>
            <w:noWrap w:val="false"/>
          </w:tcPr>
          <w:p>
            <w:pPr>
              <w:jc w:val="center"/>
              <w:rPr>
                <w:rFonts w:hint="eastAsia" w:ascii="宋体" w:hAnsi="宋体"/>
                <w:sz w:val="24"/>
              </w:rPr>
            </w:pPr>
            <w:r>
              <w:rPr>
                <w:rFonts w:hint="eastAsia" w:ascii="宋体" w:hAnsi="宋体"/>
                <w:sz w:val="24"/>
              </w:rPr>
            </w:r>
            <w:r/>
          </w:p>
        </w:tc>
        <w:tc>
          <w:tcPr>
            <w:tcW w:w="850" w:type="dxa"/>
            <w:vAlign w:val="center"/>
            <w:textDirection w:val="lrTb"/>
            <w:noWrap w:val="false"/>
          </w:tcPr>
          <w:p>
            <w:pPr>
              <w:jc w:val="center"/>
              <w:rPr>
                <w:rFonts w:hint="eastAsia" w:ascii="宋体" w:hAnsi="宋体"/>
                <w:sz w:val="24"/>
              </w:rPr>
            </w:pPr>
            <w:r>
              <w:rPr>
                <w:rFonts w:hint="eastAsia" w:ascii="宋体" w:hAnsi="宋体"/>
                <w:sz w:val="24"/>
              </w:rPr>
            </w:r>
            <w:r/>
          </w:p>
        </w:tc>
        <w:tc>
          <w:tcPr>
            <w:tcW w:w="1062" w:type="dxa"/>
            <w:vAlign w:val="center"/>
            <w:textDirection w:val="lrTb"/>
            <w:noWrap w:val="false"/>
          </w:tcPr>
          <w:p>
            <w:pPr>
              <w:jc w:val="center"/>
              <w:rPr>
                <w:rFonts w:hint="eastAsia" w:ascii="宋体" w:hAnsi="宋体"/>
                <w:sz w:val="24"/>
              </w:rPr>
            </w:pPr>
            <w:r>
              <w:rPr>
                <w:rFonts w:hint="eastAsia" w:ascii="宋体" w:hAnsi="宋体"/>
                <w:sz w:val="24"/>
              </w:rPr>
            </w:r>
            <w:r/>
          </w:p>
        </w:tc>
        <w:tc>
          <w:tcPr>
            <w:tcW w:w="1400" w:type="dxa"/>
            <w:vAlign w:val="center"/>
            <w:textDirection w:val="lrTb"/>
            <w:noWrap w:val="false"/>
          </w:tcPr>
          <w:p>
            <w:pPr>
              <w:jc w:val="center"/>
              <w:rPr>
                <w:rFonts w:hint="eastAsia" w:ascii="宋体" w:hAnsi="宋体"/>
                <w:sz w:val="24"/>
              </w:rPr>
            </w:pPr>
            <w:r>
              <w:rPr>
                <w:rFonts w:hint="eastAsia" w:ascii="宋体" w:hAnsi="宋体"/>
                <w:sz w:val="24"/>
              </w:rPr>
            </w:r>
            <w:r/>
          </w:p>
        </w:tc>
        <w:tc>
          <w:tcPr>
            <w:tcW w:w="1090" w:type="dxa"/>
            <w:vAlign w:val="center"/>
            <w:textDirection w:val="lrTb"/>
            <w:noWrap w:val="false"/>
          </w:tcPr>
          <w:p>
            <w:pPr>
              <w:jc w:val="center"/>
              <w:rPr>
                <w:rFonts w:hint="eastAsia" w:ascii="宋体" w:hAnsi="宋体"/>
                <w:sz w:val="24"/>
              </w:rPr>
            </w:pPr>
            <w:r>
              <w:rPr>
                <w:rFonts w:hint="eastAsia" w:ascii="宋体" w:hAnsi="宋体"/>
                <w:sz w:val="24"/>
              </w:rPr>
            </w:r>
            <w:r/>
          </w:p>
        </w:tc>
        <w:tc>
          <w:tcPr>
            <w:tcW w:w="2185"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463"/>
        </w:trPr>
        <w:tc>
          <w:tcPr>
            <w:tcW w:w="535" w:type="dxa"/>
            <w:vAlign w:val="center"/>
            <w:textDirection w:val="lrTb"/>
            <w:noWrap w:val="false"/>
          </w:tcPr>
          <w:p>
            <w:pPr>
              <w:jc w:val="center"/>
              <w:rPr>
                <w:rFonts w:hint="eastAsia" w:ascii="宋体" w:hAnsi="宋体"/>
                <w:sz w:val="24"/>
              </w:rPr>
            </w:pPr>
            <w:r>
              <w:rPr>
                <w:rFonts w:hint="eastAsia" w:ascii="宋体" w:hAnsi="宋体"/>
                <w:sz w:val="24"/>
              </w:rPr>
              <w:t xml:space="preserve">3</w:t>
            </w:r>
            <w:r/>
          </w:p>
        </w:tc>
        <w:tc>
          <w:tcPr>
            <w:tcW w:w="1688" w:type="dxa"/>
            <w:vAlign w:val="center"/>
            <w:textDirection w:val="lrTb"/>
            <w:noWrap w:val="false"/>
          </w:tcPr>
          <w:p>
            <w:pPr>
              <w:jc w:val="center"/>
              <w:rPr>
                <w:rFonts w:hint="eastAsia" w:ascii="宋体" w:hAnsi="宋体"/>
                <w:sz w:val="24"/>
              </w:rPr>
            </w:pPr>
            <w:r>
              <w:rPr>
                <w:rFonts w:hint="eastAsia" w:ascii="宋体" w:hAnsi="宋体"/>
                <w:sz w:val="24"/>
              </w:rPr>
            </w:r>
            <w:r/>
          </w:p>
        </w:tc>
        <w:tc>
          <w:tcPr>
            <w:tcW w:w="850" w:type="dxa"/>
            <w:vAlign w:val="center"/>
            <w:textDirection w:val="lrTb"/>
            <w:noWrap w:val="false"/>
          </w:tcPr>
          <w:p>
            <w:pPr>
              <w:jc w:val="center"/>
              <w:rPr>
                <w:rFonts w:hint="eastAsia" w:ascii="宋体" w:hAnsi="宋体"/>
                <w:sz w:val="24"/>
              </w:rPr>
            </w:pPr>
            <w:r>
              <w:rPr>
                <w:rFonts w:hint="eastAsia" w:ascii="宋体" w:hAnsi="宋体"/>
                <w:sz w:val="24"/>
              </w:rPr>
            </w:r>
            <w:r/>
          </w:p>
        </w:tc>
        <w:tc>
          <w:tcPr>
            <w:tcW w:w="1062" w:type="dxa"/>
            <w:vAlign w:val="center"/>
            <w:textDirection w:val="lrTb"/>
            <w:noWrap w:val="false"/>
          </w:tcPr>
          <w:p>
            <w:pPr>
              <w:jc w:val="center"/>
              <w:rPr>
                <w:rFonts w:hint="eastAsia" w:ascii="宋体" w:hAnsi="宋体"/>
                <w:sz w:val="24"/>
              </w:rPr>
            </w:pPr>
            <w:r>
              <w:rPr>
                <w:rFonts w:hint="eastAsia" w:ascii="宋体" w:hAnsi="宋体"/>
                <w:sz w:val="24"/>
              </w:rPr>
            </w:r>
            <w:r/>
          </w:p>
        </w:tc>
        <w:tc>
          <w:tcPr>
            <w:tcW w:w="1400" w:type="dxa"/>
            <w:vAlign w:val="center"/>
            <w:textDirection w:val="lrTb"/>
            <w:noWrap w:val="false"/>
          </w:tcPr>
          <w:p>
            <w:pPr>
              <w:jc w:val="center"/>
              <w:rPr>
                <w:rFonts w:hint="eastAsia" w:ascii="宋体" w:hAnsi="宋体"/>
                <w:sz w:val="24"/>
              </w:rPr>
            </w:pPr>
            <w:r>
              <w:rPr>
                <w:rFonts w:hint="eastAsia" w:ascii="宋体" w:hAnsi="宋体"/>
                <w:sz w:val="24"/>
              </w:rPr>
            </w:r>
            <w:r/>
          </w:p>
        </w:tc>
        <w:tc>
          <w:tcPr>
            <w:tcW w:w="1090" w:type="dxa"/>
            <w:vAlign w:val="center"/>
            <w:textDirection w:val="lrTb"/>
            <w:noWrap w:val="false"/>
          </w:tcPr>
          <w:p>
            <w:pPr>
              <w:jc w:val="center"/>
              <w:rPr>
                <w:rFonts w:hint="eastAsia" w:ascii="宋体" w:hAnsi="宋体"/>
                <w:sz w:val="24"/>
              </w:rPr>
            </w:pPr>
            <w:r>
              <w:rPr>
                <w:rFonts w:hint="eastAsia" w:ascii="宋体" w:hAnsi="宋体"/>
                <w:sz w:val="24"/>
              </w:rPr>
            </w:r>
            <w:r/>
          </w:p>
        </w:tc>
        <w:tc>
          <w:tcPr>
            <w:tcW w:w="2185"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441"/>
        </w:trPr>
        <w:tc>
          <w:tcPr>
            <w:tcW w:w="535" w:type="dxa"/>
            <w:vAlign w:val="center"/>
            <w:textDirection w:val="lrTb"/>
            <w:noWrap w:val="false"/>
          </w:tcPr>
          <w:p>
            <w:pPr>
              <w:jc w:val="center"/>
              <w:rPr>
                <w:rFonts w:hint="eastAsia" w:ascii="宋体" w:hAnsi="宋体"/>
                <w:sz w:val="24"/>
              </w:rPr>
            </w:pPr>
            <w:r>
              <w:rPr>
                <w:rFonts w:hint="eastAsia" w:ascii="宋体" w:hAnsi="宋体"/>
                <w:sz w:val="24"/>
              </w:rPr>
              <w:t xml:space="preserve">4</w:t>
            </w:r>
            <w:r/>
          </w:p>
        </w:tc>
        <w:tc>
          <w:tcPr>
            <w:tcW w:w="1688" w:type="dxa"/>
            <w:vAlign w:val="center"/>
            <w:textDirection w:val="lrTb"/>
            <w:noWrap w:val="false"/>
          </w:tcPr>
          <w:p>
            <w:pPr>
              <w:jc w:val="center"/>
              <w:rPr>
                <w:rFonts w:hint="eastAsia" w:ascii="宋体" w:hAnsi="宋体"/>
                <w:sz w:val="24"/>
              </w:rPr>
            </w:pPr>
            <w:r>
              <w:rPr>
                <w:rFonts w:hint="eastAsia" w:ascii="宋体" w:hAnsi="宋体"/>
                <w:sz w:val="24"/>
              </w:rPr>
            </w:r>
            <w:r/>
          </w:p>
        </w:tc>
        <w:tc>
          <w:tcPr>
            <w:tcW w:w="850" w:type="dxa"/>
            <w:vAlign w:val="center"/>
            <w:textDirection w:val="lrTb"/>
            <w:noWrap w:val="false"/>
          </w:tcPr>
          <w:p>
            <w:pPr>
              <w:jc w:val="center"/>
              <w:rPr>
                <w:rFonts w:hint="eastAsia" w:ascii="宋体" w:hAnsi="宋体"/>
                <w:sz w:val="24"/>
              </w:rPr>
            </w:pPr>
            <w:r>
              <w:rPr>
                <w:rFonts w:hint="eastAsia" w:ascii="宋体" w:hAnsi="宋体"/>
                <w:sz w:val="24"/>
              </w:rPr>
            </w:r>
            <w:r/>
          </w:p>
        </w:tc>
        <w:tc>
          <w:tcPr>
            <w:tcW w:w="1062" w:type="dxa"/>
            <w:vAlign w:val="center"/>
            <w:textDirection w:val="lrTb"/>
            <w:noWrap w:val="false"/>
          </w:tcPr>
          <w:p>
            <w:pPr>
              <w:jc w:val="center"/>
              <w:rPr>
                <w:rFonts w:hint="eastAsia" w:ascii="宋体" w:hAnsi="宋体"/>
                <w:sz w:val="24"/>
              </w:rPr>
            </w:pPr>
            <w:r>
              <w:rPr>
                <w:rFonts w:hint="eastAsia" w:ascii="宋体" w:hAnsi="宋体"/>
                <w:sz w:val="24"/>
              </w:rPr>
            </w:r>
            <w:r/>
          </w:p>
        </w:tc>
        <w:tc>
          <w:tcPr>
            <w:tcW w:w="1400" w:type="dxa"/>
            <w:vAlign w:val="center"/>
            <w:textDirection w:val="lrTb"/>
            <w:noWrap w:val="false"/>
          </w:tcPr>
          <w:p>
            <w:pPr>
              <w:jc w:val="center"/>
              <w:rPr>
                <w:rFonts w:hint="eastAsia" w:ascii="宋体" w:hAnsi="宋体"/>
                <w:sz w:val="24"/>
              </w:rPr>
            </w:pPr>
            <w:r>
              <w:rPr>
                <w:rFonts w:hint="eastAsia" w:ascii="宋体" w:hAnsi="宋体"/>
                <w:sz w:val="24"/>
              </w:rPr>
            </w:r>
            <w:r/>
          </w:p>
        </w:tc>
        <w:tc>
          <w:tcPr>
            <w:tcW w:w="1090" w:type="dxa"/>
            <w:vAlign w:val="center"/>
            <w:textDirection w:val="lrTb"/>
            <w:noWrap w:val="false"/>
          </w:tcPr>
          <w:p>
            <w:pPr>
              <w:jc w:val="center"/>
              <w:rPr>
                <w:rFonts w:hint="eastAsia" w:ascii="宋体" w:hAnsi="宋体"/>
                <w:sz w:val="24"/>
              </w:rPr>
            </w:pPr>
            <w:r>
              <w:rPr>
                <w:rFonts w:hint="eastAsia" w:ascii="宋体" w:hAnsi="宋体"/>
                <w:sz w:val="24"/>
              </w:rPr>
            </w:r>
            <w:r/>
          </w:p>
        </w:tc>
        <w:tc>
          <w:tcPr>
            <w:tcW w:w="2185"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503"/>
        </w:trPr>
        <w:tc>
          <w:tcPr>
            <w:tcW w:w="535" w:type="dxa"/>
            <w:vAlign w:val="center"/>
            <w:textDirection w:val="lrTb"/>
            <w:noWrap w:val="false"/>
          </w:tcPr>
          <w:p>
            <w:pPr>
              <w:jc w:val="center"/>
              <w:rPr>
                <w:rFonts w:hint="eastAsia" w:ascii="宋体" w:hAnsi="宋体"/>
                <w:sz w:val="24"/>
              </w:rPr>
            </w:pPr>
            <w:r>
              <w:rPr>
                <w:rFonts w:hint="eastAsia" w:ascii="宋体" w:hAnsi="宋体"/>
                <w:sz w:val="24"/>
              </w:rPr>
              <w:t xml:space="preserve">5</w:t>
            </w:r>
            <w:r/>
          </w:p>
        </w:tc>
        <w:tc>
          <w:tcPr>
            <w:tcW w:w="1688" w:type="dxa"/>
            <w:vAlign w:val="center"/>
            <w:textDirection w:val="lrTb"/>
            <w:noWrap w:val="false"/>
          </w:tcPr>
          <w:p>
            <w:pPr>
              <w:jc w:val="center"/>
              <w:rPr>
                <w:rFonts w:hint="eastAsia" w:ascii="宋体" w:hAnsi="宋体"/>
                <w:sz w:val="24"/>
              </w:rPr>
            </w:pPr>
            <w:r>
              <w:rPr>
                <w:rFonts w:hint="eastAsia" w:ascii="宋体" w:hAnsi="宋体"/>
                <w:sz w:val="24"/>
              </w:rPr>
            </w:r>
            <w:r/>
          </w:p>
        </w:tc>
        <w:tc>
          <w:tcPr>
            <w:tcW w:w="850" w:type="dxa"/>
            <w:vAlign w:val="center"/>
            <w:textDirection w:val="lrTb"/>
            <w:noWrap w:val="false"/>
          </w:tcPr>
          <w:p>
            <w:pPr>
              <w:jc w:val="center"/>
              <w:rPr>
                <w:rFonts w:hint="eastAsia" w:ascii="宋体" w:hAnsi="宋体"/>
                <w:sz w:val="24"/>
              </w:rPr>
            </w:pPr>
            <w:r>
              <w:rPr>
                <w:rFonts w:hint="eastAsia" w:ascii="宋体" w:hAnsi="宋体"/>
                <w:sz w:val="24"/>
              </w:rPr>
            </w:r>
            <w:r/>
          </w:p>
        </w:tc>
        <w:tc>
          <w:tcPr>
            <w:tcW w:w="1062" w:type="dxa"/>
            <w:vAlign w:val="center"/>
            <w:textDirection w:val="lrTb"/>
            <w:noWrap w:val="false"/>
          </w:tcPr>
          <w:p>
            <w:pPr>
              <w:jc w:val="center"/>
              <w:rPr>
                <w:rFonts w:hint="eastAsia" w:ascii="宋体" w:hAnsi="宋体"/>
                <w:sz w:val="24"/>
              </w:rPr>
            </w:pPr>
            <w:r>
              <w:rPr>
                <w:rFonts w:hint="eastAsia" w:ascii="宋体" w:hAnsi="宋体"/>
                <w:sz w:val="24"/>
              </w:rPr>
            </w:r>
            <w:r/>
          </w:p>
        </w:tc>
        <w:tc>
          <w:tcPr>
            <w:tcW w:w="1400" w:type="dxa"/>
            <w:vAlign w:val="center"/>
            <w:textDirection w:val="lrTb"/>
            <w:noWrap w:val="false"/>
          </w:tcPr>
          <w:p>
            <w:pPr>
              <w:jc w:val="center"/>
              <w:rPr>
                <w:rFonts w:hint="eastAsia" w:ascii="宋体" w:hAnsi="宋体"/>
                <w:sz w:val="24"/>
              </w:rPr>
            </w:pPr>
            <w:r>
              <w:rPr>
                <w:rFonts w:hint="eastAsia" w:ascii="宋体" w:hAnsi="宋体"/>
                <w:sz w:val="24"/>
              </w:rPr>
            </w:r>
            <w:r/>
          </w:p>
        </w:tc>
        <w:tc>
          <w:tcPr>
            <w:tcW w:w="1090" w:type="dxa"/>
            <w:vAlign w:val="center"/>
            <w:textDirection w:val="lrTb"/>
            <w:noWrap w:val="false"/>
          </w:tcPr>
          <w:p>
            <w:pPr>
              <w:jc w:val="center"/>
              <w:rPr>
                <w:rFonts w:hint="eastAsia" w:ascii="宋体" w:hAnsi="宋体"/>
                <w:sz w:val="24"/>
              </w:rPr>
            </w:pPr>
            <w:r>
              <w:rPr>
                <w:rFonts w:hint="eastAsia" w:ascii="宋体" w:hAnsi="宋体"/>
                <w:sz w:val="24"/>
              </w:rPr>
            </w:r>
            <w:r/>
          </w:p>
        </w:tc>
        <w:tc>
          <w:tcPr>
            <w:tcW w:w="2185"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495"/>
        </w:trPr>
        <w:tc>
          <w:tcPr>
            <w:tcW w:w="535" w:type="dxa"/>
            <w:vAlign w:val="center"/>
            <w:textDirection w:val="lrTb"/>
            <w:noWrap w:val="false"/>
          </w:tcPr>
          <w:p>
            <w:pPr>
              <w:jc w:val="center"/>
              <w:rPr>
                <w:rFonts w:hint="eastAsia" w:ascii="宋体" w:hAnsi="宋体"/>
                <w:sz w:val="24"/>
              </w:rPr>
            </w:pPr>
            <w:r>
              <w:rPr>
                <w:rFonts w:hint="eastAsia" w:ascii="宋体" w:hAnsi="宋体"/>
                <w:sz w:val="24"/>
              </w:rPr>
              <w:t xml:space="preserve">6</w:t>
            </w:r>
            <w:r/>
          </w:p>
        </w:tc>
        <w:tc>
          <w:tcPr>
            <w:tcW w:w="1688" w:type="dxa"/>
            <w:vAlign w:val="center"/>
            <w:textDirection w:val="lrTb"/>
            <w:noWrap w:val="false"/>
          </w:tcPr>
          <w:p>
            <w:pPr>
              <w:jc w:val="center"/>
              <w:rPr>
                <w:rFonts w:hint="eastAsia" w:ascii="宋体" w:hAnsi="宋体"/>
                <w:sz w:val="24"/>
              </w:rPr>
            </w:pPr>
            <w:r>
              <w:rPr>
                <w:rFonts w:hint="eastAsia" w:ascii="宋体" w:hAnsi="宋体"/>
                <w:sz w:val="24"/>
              </w:rPr>
            </w:r>
            <w:r/>
          </w:p>
        </w:tc>
        <w:tc>
          <w:tcPr>
            <w:tcW w:w="850" w:type="dxa"/>
            <w:vAlign w:val="center"/>
            <w:textDirection w:val="lrTb"/>
            <w:noWrap w:val="false"/>
          </w:tcPr>
          <w:p>
            <w:pPr>
              <w:jc w:val="center"/>
              <w:rPr>
                <w:rFonts w:hint="eastAsia" w:ascii="宋体" w:hAnsi="宋体"/>
                <w:sz w:val="24"/>
              </w:rPr>
            </w:pPr>
            <w:r>
              <w:rPr>
                <w:rFonts w:hint="eastAsia" w:ascii="宋体" w:hAnsi="宋体"/>
                <w:sz w:val="24"/>
              </w:rPr>
            </w:r>
            <w:r/>
          </w:p>
        </w:tc>
        <w:tc>
          <w:tcPr>
            <w:tcW w:w="1062" w:type="dxa"/>
            <w:vAlign w:val="center"/>
            <w:textDirection w:val="lrTb"/>
            <w:noWrap w:val="false"/>
          </w:tcPr>
          <w:p>
            <w:pPr>
              <w:jc w:val="center"/>
              <w:rPr>
                <w:rFonts w:hint="eastAsia" w:ascii="宋体" w:hAnsi="宋体"/>
                <w:sz w:val="24"/>
              </w:rPr>
            </w:pPr>
            <w:r>
              <w:rPr>
                <w:rFonts w:hint="eastAsia" w:ascii="宋体" w:hAnsi="宋体"/>
                <w:sz w:val="24"/>
              </w:rPr>
            </w:r>
            <w:r/>
          </w:p>
        </w:tc>
        <w:tc>
          <w:tcPr>
            <w:tcW w:w="1400" w:type="dxa"/>
            <w:vAlign w:val="center"/>
            <w:textDirection w:val="lrTb"/>
            <w:noWrap w:val="false"/>
          </w:tcPr>
          <w:p>
            <w:pPr>
              <w:jc w:val="center"/>
              <w:rPr>
                <w:rFonts w:hint="eastAsia" w:ascii="宋体" w:hAnsi="宋体"/>
                <w:sz w:val="24"/>
              </w:rPr>
            </w:pPr>
            <w:r>
              <w:rPr>
                <w:rFonts w:hint="eastAsia" w:ascii="宋体" w:hAnsi="宋体"/>
                <w:sz w:val="24"/>
              </w:rPr>
            </w:r>
            <w:r/>
          </w:p>
        </w:tc>
        <w:tc>
          <w:tcPr>
            <w:tcW w:w="1090" w:type="dxa"/>
            <w:vAlign w:val="center"/>
            <w:textDirection w:val="lrTb"/>
            <w:noWrap w:val="false"/>
          </w:tcPr>
          <w:p>
            <w:pPr>
              <w:jc w:val="center"/>
              <w:rPr>
                <w:rFonts w:hint="eastAsia" w:ascii="宋体" w:hAnsi="宋体"/>
                <w:sz w:val="24"/>
              </w:rPr>
            </w:pPr>
            <w:r>
              <w:rPr>
                <w:rFonts w:hint="eastAsia" w:ascii="宋体" w:hAnsi="宋体"/>
                <w:sz w:val="24"/>
              </w:rPr>
            </w:r>
            <w:r/>
          </w:p>
        </w:tc>
        <w:tc>
          <w:tcPr>
            <w:tcW w:w="2185"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495"/>
        </w:trPr>
        <w:tc>
          <w:tcPr>
            <w:tcW w:w="535" w:type="dxa"/>
            <w:vAlign w:val="center"/>
            <w:textDirection w:val="lrTb"/>
            <w:noWrap w:val="false"/>
          </w:tcPr>
          <w:p>
            <w:pPr>
              <w:jc w:val="center"/>
              <w:rPr>
                <w:rFonts w:hint="eastAsia" w:ascii="宋体" w:hAnsi="宋体"/>
                <w:sz w:val="24"/>
              </w:rPr>
            </w:pPr>
            <w:r>
              <w:rPr>
                <w:rFonts w:hint="eastAsia" w:ascii="宋体" w:hAnsi="宋体"/>
                <w:sz w:val="24"/>
              </w:rPr>
              <w:t xml:space="preserve">7</w:t>
            </w:r>
            <w:r/>
          </w:p>
        </w:tc>
        <w:tc>
          <w:tcPr>
            <w:tcW w:w="1688" w:type="dxa"/>
            <w:vAlign w:val="center"/>
            <w:textDirection w:val="lrTb"/>
            <w:noWrap w:val="false"/>
          </w:tcPr>
          <w:p>
            <w:pPr>
              <w:jc w:val="center"/>
              <w:rPr>
                <w:rFonts w:hint="eastAsia" w:ascii="宋体" w:hAnsi="宋体"/>
                <w:sz w:val="24"/>
              </w:rPr>
            </w:pPr>
            <w:r>
              <w:rPr>
                <w:rFonts w:hint="eastAsia" w:ascii="宋体" w:hAnsi="宋体"/>
                <w:sz w:val="24"/>
              </w:rPr>
            </w:r>
            <w:r/>
          </w:p>
        </w:tc>
        <w:tc>
          <w:tcPr>
            <w:tcW w:w="850" w:type="dxa"/>
            <w:vAlign w:val="center"/>
            <w:textDirection w:val="lrTb"/>
            <w:noWrap w:val="false"/>
          </w:tcPr>
          <w:p>
            <w:pPr>
              <w:jc w:val="center"/>
              <w:rPr>
                <w:rFonts w:hint="eastAsia" w:ascii="宋体" w:hAnsi="宋体"/>
                <w:sz w:val="24"/>
              </w:rPr>
            </w:pPr>
            <w:r>
              <w:rPr>
                <w:rFonts w:hint="eastAsia" w:ascii="宋体" w:hAnsi="宋体"/>
                <w:sz w:val="24"/>
              </w:rPr>
            </w:r>
            <w:r/>
          </w:p>
        </w:tc>
        <w:tc>
          <w:tcPr>
            <w:tcW w:w="1062" w:type="dxa"/>
            <w:vAlign w:val="center"/>
            <w:textDirection w:val="lrTb"/>
            <w:noWrap w:val="false"/>
          </w:tcPr>
          <w:p>
            <w:pPr>
              <w:jc w:val="center"/>
              <w:rPr>
                <w:rFonts w:hint="eastAsia" w:ascii="宋体" w:hAnsi="宋体"/>
                <w:sz w:val="24"/>
              </w:rPr>
            </w:pPr>
            <w:r>
              <w:rPr>
                <w:rFonts w:hint="eastAsia" w:ascii="宋体" w:hAnsi="宋体"/>
                <w:sz w:val="24"/>
              </w:rPr>
            </w:r>
            <w:r/>
          </w:p>
        </w:tc>
        <w:tc>
          <w:tcPr>
            <w:tcW w:w="1400" w:type="dxa"/>
            <w:vAlign w:val="center"/>
            <w:textDirection w:val="lrTb"/>
            <w:noWrap w:val="false"/>
          </w:tcPr>
          <w:p>
            <w:pPr>
              <w:jc w:val="center"/>
              <w:rPr>
                <w:rFonts w:hint="eastAsia" w:ascii="宋体" w:hAnsi="宋体"/>
                <w:sz w:val="24"/>
              </w:rPr>
            </w:pPr>
            <w:r>
              <w:rPr>
                <w:rFonts w:hint="eastAsia" w:ascii="宋体" w:hAnsi="宋体"/>
                <w:sz w:val="24"/>
              </w:rPr>
            </w:r>
            <w:r/>
          </w:p>
        </w:tc>
        <w:tc>
          <w:tcPr>
            <w:tcW w:w="1090" w:type="dxa"/>
            <w:vAlign w:val="center"/>
            <w:textDirection w:val="lrTb"/>
            <w:noWrap w:val="false"/>
          </w:tcPr>
          <w:p>
            <w:pPr>
              <w:jc w:val="center"/>
              <w:rPr>
                <w:rFonts w:hint="eastAsia" w:ascii="宋体" w:hAnsi="宋体"/>
                <w:sz w:val="24"/>
              </w:rPr>
            </w:pPr>
            <w:r>
              <w:rPr>
                <w:rFonts w:hint="eastAsia" w:ascii="宋体" w:hAnsi="宋体"/>
                <w:sz w:val="24"/>
              </w:rPr>
            </w:r>
            <w:r/>
          </w:p>
        </w:tc>
        <w:tc>
          <w:tcPr>
            <w:tcW w:w="2185"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465"/>
        </w:trPr>
        <w:tc>
          <w:tcPr>
            <w:tcW w:w="535" w:type="dxa"/>
            <w:vAlign w:val="center"/>
            <w:textDirection w:val="lrTb"/>
            <w:noWrap w:val="false"/>
          </w:tcPr>
          <w:p>
            <w:pPr>
              <w:jc w:val="center"/>
              <w:rPr>
                <w:rFonts w:hint="eastAsia" w:ascii="宋体" w:hAnsi="宋体"/>
                <w:sz w:val="24"/>
              </w:rPr>
            </w:pPr>
            <w:r>
              <w:rPr>
                <w:rFonts w:hint="eastAsia" w:ascii="宋体" w:hAnsi="宋体"/>
                <w:sz w:val="24"/>
              </w:rPr>
              <w:t xml:space="preserve">8</w:t>
            </w:r>
            <w:r/>
          </w:p>
        </w:tc>
        <w:tc>
          <w:tcPr>
            <w:tcW w:w="1688" w:type="dxa"/>
            <w:vAlign w:val="center"/>
            <w:textDirection w:val="lrTb"/>
            <w:noWrap w:val="false"/>
          </w:tcPr>
          <w:p>
            <w:pPr>
              <w:jc w:val="center"/>
              <w:rPr>
                <w:rFonts w:hint="eastAsia" w:ascii="宋体" w:hAnsi="宋体"/>
                <w:sz w:val="24"/>
              </w:rPr>
            </w:pPr>
            <w:r>
              <w:rPr>
                <w:rFonts w:hint="eastAsia" w:ascii="宋体" w:hAnsi="宋体"/>
                <w:sz w:val="24"/>
              </w:rPr>
            </w:r>
            <w:r/>
          </w:p>
        </w:tc>
        <w:tc>
          <w:tcPr>
            <w:tcW w:w="850" w:type="dxa"/>
            <w:vAlign w:val="center"/>
            <w:textDirection w:val="lrTb"/>
            <w:noWrap w:val="false"/>
          </w:tcPr>
          <w:p>
            <w:pPr>
              <w:jc w:val="center"/>
              <w:rPr>
                <w:rFonts w:hint="eastAsia" w:ascii="宋体" w:hAnsi="宋体"/>
                <w:sz w:val="24"/>
              </w:rPr>
            </w:pPr>
            <w:r>
              <w:rPr>
                <w:rFonts w:hint="eastAsia" w:ascii="宋体" w:hAnsi="宋体"/>
                <w:sz w:val="24"/>
              </w:rPr>
            </w:r>
            <w:r/>
          </w:p>
        </w:tc>
        <w:tc>
          <w:tcPr>
            <w:tcW w:w="1062" w:type="dxa"/>
            <w:vAlign w:val="center"/>
            <w:textDirection w:val="lrTb"/>
            <w:noWrap w:val="false"/>
          </w:tcPr>
          <w:p>
            <w:pPr>
              <w:jc w:val="center"/>
              <w:rPr>
                <w:rFonts w:hint="eastAsia" w:ascii="宋体" w:hAnsi="宋体"/>
                <w:sz w:val="24"/>
              </w:rPr>
            </w:pPr>
            <w:r>
              <w:rPr>
                <w:rFonts w:hint="eastAsia" w:ascii="宋体" w:hAnsi="宋体"/>
                <w:sz w:val="24"/>
              </w:rPr>
            </w:r>
            <w:r/>
          </w:p>
        </w:tc>
        <w:tc>
          <w:tcPr>
            <w:tcW w:w="1400" w:type="dxa"/>
            <w:vAlign w:val="center"/>
            <w:textDirection w:val="lrTb"/>
            <w:noWrap w:val="false"/>
          </w:tcPr>
          <w:p>
            <w:pPr>
              <w:jc w:val="center"/>
              <w:rPr>
                <w:rFonts w:hint="eastAsia" w:ascii="宋体" w:hAnsi="宋体"/>
                <w:sz w:val="24"/>
              </w:rPr>
            </w:pPr>
            <w:r>
              <w:rPr>
                <w:rFonts w:hint="eastAsia" w:ascii="宋体" w:hAnsi="宋体"/>
                <w:sz w:val="24"/>
              </w:rPr>
            </w:r>
            <w:r/>
          </w:p>
        </w:tc>
        <w:tc>
          <w:tcPr>
            <w:tcW w:w="1090" w:type="dxa"/>
            <w:vAlign w:val="center"/>
            <w:textDirection w:val="lrTb"/>
            <w:noWrap w:val="false"/>
          </w:tcPr>
          <w:p>
            <w:pPr>
              <w:jc w:val="center"/>
              <w:rPr>
                <w:rFonts w:hint="eastAsia" w:ascii="宋体" w:hAnsi="宋体"/>
                <w:sz w:val="24"/>
              </w:rPr>
            </w:pPr>
            <w:r>
              <w:rPr>
                <w:rFonts w:hint="eastAsia" w:ascii="宋体" w:hAnsi="宋体"/>
                <w:sz w:val="24"/>
              </w:rPr>
            </w:r>
            <w:r/>
          </w:p>
        </w:tc>
        <w:tc>
          <w:tcPr>
            <w:tcW w:w="2185"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450"/>
        </w:trPr>
        <w:tc>
          <w:tcPr>
            <w:tcW w:w="535" w:type="dxa"/>
            <w:vAlign w:val="center"/>
            <w:textDirection w:val="lrTb"/>
            <w:noWrap w:val="false"/>
          </w:tcPr>
          <w:p>
            <w:pPr>
              <w:jc w:val="center"/>
              <w:rPr>
                <w:rFonts w:hint="eastAsia" w:ascii="宋体" w:hAnsi="宋体"/>
                <w:sz w:val="24"/>
              </w:rPr>
            </w:pPr>
            <w:r>
              <w:rPr>
                <w:rFonts w:hint="eastAsia" w:ascii="宋体" w:hAnsi="宋体"/>
                <w:sz w:val="24"/>
              </w:rPr>
              <w:t xml:space="preserve">9</w:t>
            </w:r>
            <w:r/>
          </w:p>
        </w:tc>
        <w:tc>
          <w:tcPr>
            <w:tcW w:w="1688" w:type="dxa"/>
            <w:vAlign w:val="center"/>
            <w:textDirection w:val="lrTb"/>
            <w:noWrap w:val="false"/>
          </w:tcPr>
          <w:p>
            <w:pPr>
              <w:jc w:val="center"/>
              <w:rPr>
                <w:rFonts w:hint="eastAsia" w:ascii="宋体" w:hAnsi="宋体"/>
                <w:sz w:val="24"/>
              </w:rPr>
            </w:pPr>
            <w:r>
              <w:rPr>
                <w:rFonts w:hint="eastAsia" w:ascii="宋体" w:hAnsi="宋体"/>
                <w:sz w:val="24"/>
              </w:rPr>
            </w:r>
            <w:r/>
          </w:p>
        </w:tc>
        <w:tc>
          <w:tcPr>
            <w:tcW w:w="850" w:type="dxa"/>
            <w:vAlign w:val="center"/>
            <w:textDirection w:val="lrTb"/>
            <w:noWrap w:val="false"/>
          </w:tcPr>
          <w:p>
            <w:pPr>
              <w:jc w:val="center"/>
              <w:rPr>
                <w:rFonts w:hint="eastAsia" w:ascii="宋体" w:hAnsi="宋体"/>
                <w:sz w:val="24"/>
              </w:rPr>
            </w:pPr>
            <w:r>
              <w:rPr>
                <w:rFonts w:hint="eastAsia" w:ascii="宋体" w:hAnsi="宋体"/>
                <w:sz w:val="24"/>
              </w:rPr>
            </w:r>
            <w:r/>
          </w:p>
        </w:tc>
        <w:tc>
          <w:tcPr>
            <w:tcW w:w="1062" w:type="dxa"/>
            <w:vAlign w:val="center"/>
            <w:textDirection w:val="lrTb"/>
            <w:noWrap w:val="false"/>
          </w:tcPr>
          <w:p>
            <w:pPr>
              <w:jc w:val="center"/>
              <w:rPr>
                <w:rFonts w:hint="eastAsia" w:ascii="宋体" w:hAnsi="宋体"/>
                <w:sz w:val="24"/>
              </w:rPr>
            </w:pPr>
            <w:r>
              <w:rPr>
                <w:rFonts w:hint="eastAsia" w:ascii="宋体" w:hAnsi="宋体"/>
                <w:sz w:val="24"/>
              </w:rPr>
            </w:r>
            <w:r/>
          </w:p>
        </w:tc>
        <w:tc>
          <w:tcPr>
            <w:tcW w:w="1400" w:type="dxa"/>
            <w:vAlign w:val="center"/>
            <w:textDirection w:val="lrTb"/>
            <w:noWrap w:val="false"/>
          </w:tcPr>
          <w:p>
            <w:pPr>
              <w:jc w:val="center"/>
              <w:rPr>
                <w:rFonts w:hint="eastAsia" w:ascii="宋体" w:hAnsi="宋体"/>
                <w:sz w:val="24"/>
              </w:rPr>
            </w:pPr>
            <w:r>
              <w:rPr>
                <w:rFonts w:hint="eastAsia" w:ascii="宋体" w:hAnsi="宋体"/>
                <w:sz w:val="24"/>
              </w:rPr>
            </w:r>
            <w:r/>
          </w:p>
        </w:tc>
        <w:tc>
          <w:tcPr>
            <w:tcW w:w="1090" w:type="dxa"/>
            <w:vAlign w:val="center"/>
            <w:textDirection w:val="lrTb"/>
            <w:noWrap w:val="false"/>
          </w:tcPr>
          <w:p>
            <w:pPr>
              <w:jc w:val="center"/>
              <w:rPr>
                <w:rFonts w:hint="eastAsia" w:ascii="宋体" w:hAnsi="宋体"/>
                <w:sz w:val="24"/>
              </w:rPr>
            </w:pPr>
            <w:r>
              <w:rPr>
                <w:rFonts w:hint="eastAsia" w:ascii="宋体" w:hAnsi="宋体"/>
                <w:sz w:val="24"/>
              </w:rPr>
            </w:r>
            <w:r/>
          </w:p>
        </w:tc>
        <w:tc>
          <w:tcPr>
            <w:tcW w:w="2185"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447"/>
        </w:trPr>
        <w:tc>
          <w:tcPr>
            <w:tcW w:w="535" w:type="dxa"/>
            <w:vAlign w:val="center"/>
            <w:textDirection w:val="lrTb"/>
            <w:noWrap w:val="false"/>
          </w:tcPr>
          <w:p>
            <w:pPr>
              <w:jc w:val="center"/>
              <w:rPr>
                <w:rFonts w:hint="eastAsia" w:ascii="宋体" w:hAnsi="宋体"/>
                <w:sz w:val="24"/>
              </w:rPr>
            </w:pPr>
            <w:r>
              <w:rPr>
                <w:rFonts w:hint="eastAsia" w:ascii="宋体" w:hAnsi="宋体"/>
                <w:sz w:val="24"/>
              </w:rPr>
              <w:t xml:space="preserve">10</w:t>
            </w:r>
            <w:r/>
          </w:p>
        </w:tc>
        <w:tc>
          <w:tcPr>
            <w:tcW w:w="1688" w:type="dxa"/>
            <w:vAlign w:val="center"/>
            <w:textDirection w:val="lrTb"/>
            <w:noWrap w:val="false"/>
          </w:tcPr>
          <w:p>
            <w:pPr>
              <w:jc w:val="center"/>
              <w:rPr>
                <w:rFonts w:hint="eastAsia" w:ascii="宋体" w:hAnsi="宋体"/>
                <w:sz w:val="24"/>
              </w:rPr>
            </w:pPr>
            <w:r>
              <w:rPr>
                <w:rFonts w:hint="eastAsia" w:ascii="宋体" w:hAnsi="宋体"/>
                <w:sz w:val="24"/>
              </w:rPr>
            </w:r>
            <w:r/>
          </w:p>
        </w:tc>
        <w:tc>
          <w:tcPr>
            <w:tcW w:w="850" w:type="dxa"/>
            <w:vAlign w:val="center"/>
            <w:textDirection w:val="lrTb"/>
            <w:noWrap w:val="false"/>
          </w:tcPr>
          <w:p>
            <w:pPr>
              <w:jc w:val="center"/>
              <w:rPr>
                <w:rFonts w:hint="eastAsia" w:ascii="宋体" w:hAnsi="宋体"/>
                <w:sz w:val="24"/>
              </w:rPr>
            </w:pPr>
            <w:r>
              <w:rPr>
                <w:rFonts w:hint="eastAsia" w:ascii="宋体" w:hAnsi="宋体"/>
                <w:sz w:val="24"/>
              </w:rPr>
            </w:r>
            <w:r/>
          </w:p>
        </w:tc>
        <w:tc>
          <w:tcPr>
            <w:tcW w:w="1062" w:type="dxa"/>
            <w:vAlign w:val="center"/>
            <w:textDirection w:val="lrTb"/>
            <w:noWrap w:val="false"/>
          </w:tcPr>
          <w:p>
            <w:pPr>
              <w:jc w:val="center"/>
              <w:rPr>
                <w:rFonts w:hint="eastAsia" w:ascii="宋体" w:hAnsi="宋体"/>
                <w:sz w:val="24"/>
              </w:rPr>
            </w:pPr>
            <w:r>
              <w:rPr>
                <w:rFonts w:hint="eastAsia" w:ascii="宋体" w:hAnsi="宋体"/>
                <w:sz w:val="24"/>
              </w:rPr>
            </w:r>
            <w:r/>
          </w:p>
        </w:tc>
        <w:tc>
          <w:tcPr>
            <w:tcW w:w="1400" w:type="dxa"/>
            <w:vAlign w:val="center"/>
            <w:textDirection w:val="lrTb"/>
            <w:noWrap w:val="false"/>
          </w:tcPr>
          <w:p>
            <w:pPr>
              <w:jc w:val="center"/>
              <w:rPr>
                <w:rFonts w:hint="eastAsia" w:ascii="宋体" w:hAnsi="宋体"/>
                <w:sz w:val="24"/>
              </w:rPr>
            </w:pPr>
            <w:r>
              <w:rPr>
                <w:rFonts w:hint="eastAsia" w:ascii="宋体" w:hAnsi="宋体"/>
                <w:sz w:val="24"/>
              </w:rPr>
            </w:r>
            <w:r/>
          </w:p>
        </w:tc>
        <w:tc>
          <w:tcPr>
            <w:tcW w:w="1090" w:type="dxa"/>
            <w:vAlign w:val="center"/>
            <w:textDirection w:val="lrTb"/>
            <w:noWrap w:val="false"/>
          </w:tcPr>
          <w:p>
            <w:pPr>
              <w:jc w:val="center"/>
              <w:rPr>
                <w:rFonts w:hint="eastAsia" w:ascii="宋体" w:hAnsi="宋体"/>
                <w:sz w:val="24"/>
              </w:rPr>
            </w:pPr>
            <w:r>
              <w:rPr>
                <w:rFonts w:hint="eastAsia" w:ascii="宋体" w:hAnsi="宋体"/>
                <w:sz w:val="24"/>
              </w:rPr>
            </w:r>
            <w:r/>
          </w:p>
        </w:tc>
        <w:tc>
          <w:tcPr>
            <w:tcW w:w="2185" w:type="dxa"/>
            <w:vAlign w:val="center"/>
            <w:textDirection w:val="lrTb"/>
            <w:noWrap w:val="false"/>
          </w:tcPr>
          <w:p>
            <w:pPr>
              <w:jc w:val="center"/>
              <w:rPr>
                <w:rFonts w:hint="eastAsia" w:ascii="宋体" w:hAnsi="宋体"/>
                <w:sz w:val="24"/>
              </w:rPr>
            </w:pPr>
            <w:r>
              <w:rPr>
                <w:rFonts w:hint="eastAsia" w:ascii="宋体" w:hAnsi="宋体"/>
                <w:sz w:val="24"/>
              </w:rPr>
            </w:r>
            <w:r/>
          </w:p>
        </w:tc>
      </w:tr>
      <w:tr>
        <w:trPr>
          <w:cantSplit/>
          <w:jc w:val="center"/>
          <w:trHeight w:val="630"/>
        </w:trPr>
        <w:tc>
          <w:tcPr>
            <w:tcW w:w="535" w:type="dxa"/>
            <w:vAlign w:val="center"/>
            <w:textDirection w:val="lrTb"/>
            <w:noWrap w:val="false"/>
          </w:tcPr>
          <w:p>
            <w:pPr>
              <w:jc w:val="center"/>
              <w:rPr>
                <w:rFonts w:hint="eastAsia"/>
                <w:sz w:val="24"/>
              </w:rPr>
            </w:pPr>
            <w:r>
              <w:rPr>
                <w:rFonts w:hint="eastAsia"/>
                <w:sz w:val="24"/>
              </w:rPr>
              <w:t xml:space="preserve">…</w:t>
            </w:r>
            <w:r>
              <w:rPr>
                <w:rFonts w:hint="eastAsia" w:ascii="宋体" w:hAnsi="宋体"/>
                <w:sz w:val="24"/>
              </w:rPr>
              <w:t xml:space="preserve"> </w:t>
            </w:r>
            <w:r>
              <w:rPr>
                <w:rFonts w:hint="eastAsia"/>
                <w:sz w:val="24"/>
              </w:rPr>
              <w:t xml:space="preserve">…</w:t>
            </w:r>
            <w:r/>
          </w:p>
        </w:tc>
        <w:tc>
          <w:tcPr>
            <w:tcW w:w="1688" w:type="dxa"/>
            <w:vAlign w:val="center"/>
            <w:textDirection w:val="lrTb"/>
            <w:noWrap w:val="false"/>
          </w:tcPr>
          <w:p>
            <w:pPr>
              <w:jc w:val="center"/>
              <w:rPr>
                <w:rFonts w:hint="eastAsia"/>
                <w:sz w:val="24"/>
              </w:rPr>
            </w:pPr>
            <w:r>
              <w:rPr>
                <w:rFonts w:hint="eastAsia"/>
                <w:sz w:val="24"/>
              </w:rPr>
            </w:r>
            <w:r/>
          </w:p>
        </w:tc>
        <w:tc>
          <w:tcPr>
            <w:tcW w:w="850" w:type="dxa"/>
            <w:vAlign w:val="center"/>
            <w:textDirection w:val="lrTb"/>
            <w:noWrap w:val="false"/>
          </w:tcPr>
          <w:p>
            <w:pPr>
              <w:jc w:val="center"/>
              <w:rPr>
                <w:rFonts w:hint="eastAsia"/>
                <w:sz w:val="24"/>
              </w:rPr>
            </w:pPr>
            <w:r>
              <w:rPr>
                <w:rFonts w:hint="eastAsia"/>
                <w:sz w:val="24"/>
              </w:rPr>
            </w:r>
            <w:r/>
          </w:p>
        </w:tc>
        <w:tc>
          <w:tcPr>
            <w:tcW w:w="1062" w:type="dxa"/>
            <w:vAlign w:val="center"/>
            <w:textDirection w:val="lrTb"/>
            <w:noWrap w:val="false"/>
          </w:tcPr>
          <w:p>
            <w:pPr>
              <w:jc w:val="center"/>
              <w:rPr>
                <w:rFonts w:hint="eastAsia"/>
                <w:sz w:val="24"/>
              </w:rPr>
            </w:pPr>
            <w:r>
              <w:rPr>
                <w:rFonts w:hint="eastAsia"/>
                <w:sz w:val="24"/>
              </w:rPr>
            </w:r>
            <w:r/>
          </w:p>
        </w:tc>
        <w:tc>
          <w:tcPr>
            <w:tcW w:w="1400" w:type="dxa"/>
            <w:vAlign w:val="center"/>
            <w:textDirection w:val="lrTb"/>
            <w:noWrap w:val="false"/>
          </w:tcPr>
          <w:p>
            <w:pPr>
              <w:jc w:val="center"/>
              <w:rPr>
                <w:rFonts w:hint="eastAsia"/>
                <w:sz w:val="24"/>
              </w:rPr>
            </w:pPr>
            <w:r>
              <w:rPr>
                <w:rFonts w:hint="eastAsia"/>
                <w:sz w:val="24"/>
              </w:rPr>
            </w:r>
            <w:r/>
          </w:p>
        </w:tc>
        <w:tc>
          <w:tcPr>
            <w:tcW w:w="1090" w:type="dxa"/>
            <w:vAlign w:val="center"/>
            <w:textDirection w:val="lrTb"/>
            <w:noWrap w:val="false"/>
          </w:tcPr>
          <w:p>
            <w:pPr>
              <w:jc w:val="center"/>
              <w:rPr>
                <w:rFonts w:hint="eastAsia"/>
                <w:sz w:val="24"/>
              </w:rPr>
            </w:pPr>
            <w:r>
              <w:rPr>
                <w:rFonts w:hint="eastAsia"/>
                <w:sz w:val="24"/>
              </w:rPr>
            </w:r>
            <w:r/>
          </w:p>
        </w:tc>
        <w:tc>
          <w:tcPr>
            <w:tcW w:w="2185" w:type="dxa"/>
            <w:vAlign w:val="center"/>
            <w:textDirection w:val="lrTb"/>
            <w:noWrap w:val="false"/>
          </w:tcPr>
          <w:p>
            <w:pPr>
              <w:jc w:val="center"/>
              <w:rPr>
                <w:rFonts w:hint="eastAsia"/>
                <w:sz w:val="24"/>
              </w:rPr>
            </w:pPr>
            <w:r>
              <w:rPr>
                <w:rFonts w:hint="eastAsia"/>
                <w:sz w:val="24"/>
              </w:rPr>
            </w:r>
            <w:r/>
          </w:p>
        </w:tc>
      </w:tr>
    </w:tbl>
    <w:p>
      <w:pPr>
        <w:jc w:val="center"/>
        <w:rPr>
          <w:rStyle w:val="837"/>
          <w:rFonts w:hint="eastAsia" w:ascii="宋体" w:hAnsi="宋体" w:cs="宋体"/>
          <w:b/>
          <w:color w:val="000000" w:themeColor="text1"/>
          <w:sz w:val="40"/>
          <w:szCs w:val="40"/>
          <w:lang w:val="en-US" w:eastAsia="zh-CN"/>
          <w14:textFill>
            <w14:solidFill>
              <w14:schemeClr w14:val="tx1"/>
            </w14:solidFill>
          </w14:textFill>
        </w:rPr>
      </w:pPr>
      <w:r>
        <w:rPr>
          <w:rFonts w:hint="eastAsia" w:ascii="宋体" w:hAnsi="宋体" w:cs="宋体"/>
          <w:b/>
          <w:color w:val="000000" w:themeColor="text1"/>
          <w:sz w:val="40"/>
          <w:szCs w:val="40"/>
          <w:lang w:val="en-US" w:eastAsia="zh-CN"/>
          <w14:textFill>
            <w14:solidFill>
              <w14:schemeClr w14:val="tx1"/>
            </w14:solidFill>
          </w14:textFill>
        </w:rPr>
      </w:r>
      <w:r/>
    </w:p>
    <w:p>
      <w:pPr>
        <w:jc w:val="center"/>
        <w:rPr>
          <w:rStyle w:val="837"/>
          <w:rFonts w:hint="eastAsia" w:ascii="宋体" w:hAnsi="宋体" w:cs="宋体"/>
          <w:b/>
          <w:color w:val="000000" w:themeColor="text1"/>
          <w:sz w:val="40"/>
          <w:szCs w:val="40"/>
          <w:lang w:val="en-US" w:eastAsia="zh-CN"/>
          <w14:textFill>
            <w14:solidFill>
              <w14:schemeClr w14:val="tx1"/>
            </w14:solidFill>
          </w14:textFill>
        </w:rPr>
      </w:pPr>
      <w:r>
        <w:rPr>
          <w:rFonts w:hint="eastAsia" w:ascii="宋体" w:hAnsi="宋体" w:cs="宋体"/>
          <w:b/>
          <w:color w:val="000000" w:themeColor="text1"/>
          <w:sz w:val="40"/>
          <w:szCs w:val="40"/>
          <w:lang w:val="en-US" w:eastAsia="zh-CN"/>
          <w14:textFill>
            <w14:solidFill>
              <w14:schemeClr w14:val="tx1"/>
            </w14:solidFill>
          </w14:textFill>
        </w:rPr>
      </w:r>
      <w:r/>
    </w:p>
    <w:p>
      <w:pPr>
        <w:jc w:val="center"/>
        <w:rPr>
          <w:rStyle w:val="837"/>
          <w:rFonts w:hint="eastAsia" w:ascii="宋体" w:hAnsi="宋体" w:cs="宋体"/>
          <w:b/>
          <w:color w:val="000000" w:themeColor="text1"/>
          <w:sz w:val="40"/>
          <w:szCs w:val="40"/>
          <w:lang w:val="en-US" w:eastAsia="zh-CN"/>
          <w14:textFill>
            <w14:solidFill>
              <w14:schemeClr w14:val="tx1"/>
            </w14:solidFill>
          </w14:textFill>
        </w:rPr>
      </w:pPr>
      <w:r>
        <w:rPr>
          <w:rFonts w:hint="eastAsia" w:ascii="宋体" w:hAnsi="宋体" w:cs="宋体"/>
          <w:b/>
          <w:color w:val="000000" w:themeColor="text1"/>
          <w:sz w:val="40"/>
          <w:szCs w:val="40"/>
          <w:lang w:val="en-US" w:eastAsia="zh-CN"/>
          <w14:textFill>
            <w14:solidFill>
              <w14:schemeClr w14:val="tx1"/>
            </w14:solidFill>
          </w14:textFill>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b/>
          <w:bCs/>
          <w:color w:val="auto"/>
          <w:sz w:val="24"/>
          <w:highlight w:val="none"/>
          <w:shd w:val="clear" w:color="auto" w:fill="auto"/>
        </w:rPr>
      </w:pPr>
      <w:r>
        <w:rPr>
          <w:rFonts w:hint="eastAsia" w:ascii="宋体" w:hAnsi="宋体" w:eastAsia="宋体" w:cs="宋体"/>
          <w:b/>
          <w:bCs/>
          <w:color w:val="auto"/>
          <w:sz w:val="32"/>
          <w:szCs w:val="32"/>
          <w:highlight w:val="none"/>
          <w:shd w:val="clear" w:color="auto" w:fill="auto"/>
        </w:rPr>
        <w:t xml:space="preserve">十</w:t>
      </w:r>
      <w:r>
        <w:rPr>
          <w:rFonts w:hint="eastAsia" w:ascii="宋体" w:hAnsi="宋体" w:eastAsia="宋体" w:cs="宋体"/>
          <w:b/>
          <w:bCs/>
          <w:color w:val="auto"/>
          <w:sz w:val="32"/>
          <w:szCs w:val="32"/>
          <w:highlight w:val="none"/>
          <w:shd w:val="clear" w:color="auto" w:fill="auto"/>
          <w:lang w:val="en-US" w:eastAsia="zh-CN"/>
        </w:rPr>
        <w:t xml:space="preserve">七</w:t>
      </w:r>
      <w:r>
        <w:rPr>
          <w:rFonts w:hint="eastAsia" w:ascii="宋体" w:hAnsi="宋体" w:eastAsia="宋体" w:cs="宋体"/>
          <w:b/>
          <w:bCs/>
          <w:color w:val="auto"/>
          <w:sz w:val="32"/>
          <w:szCs w:val="32"/>
          <w:highlight w:val="none"/>
          <w:shd w:val="clear" w:color="auto" w:fill="auto"/>
        </w:rPr>
        <w:t xml:space="preserve">、盐城市政府采购事前信用承诺书</w:t>
      </w:r>
      <w:r/>
    </w:p>
    <w:p>
      <w:pPr>
        <w:ind w:firstLine="640"/>
        <w:jc w:val="left"/>
        <w:spacing w:line="499" w:lineRule="atLeast"/>
        <w:widowControl/>
        <w:rPr>
          <w:rFonts w:ascii="宋体" w:hAnsi="宋体" w:eastAsia="宋体" w:cs="宋体"/>
          <w:b/>
          <w:bCs/>
          <w:color w:val="auto"/>
          <w:sz w:val="24"/>
          <w:highlight w:val="none"/>
          <w:shd w:val="clear" w:color="auto" w:fill="auto"/>
        </w:rPr>
      </w:pPr>
      <w:r>
        <w:rPr>
          <w:rFonts w:hint="eastAsia" w:ascii="宋体" w:hAnsi="宋体" w:eastAsia="宋体" w:cs="宋体"/>
          <w:b/>
          <w:bCs/>
          <w:color w:val="auto"/>
          <w:sz w:val="32"/>
          <w:szCs w:val="32"/>
          <w:highlight w:val="none"/>
          <w:shd w:val="clear" w:color="auto" w:fill="auto"/>
        </w:rPr>
        <w:t xml:space="preserve"> </w:t>
      </w:r>
      <w:r/>
    </w:p>
    <w:p>
      <w:pPr>
        <w:ind w:firstLine="480"/>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w:t>
      </w:r>
      <w:r>
        <w:rPr>
          <w:rFonts w:hint="eastAsia" w:ascii="宋体" w:hAnsi="宋体" w:eastAsia="宋体" w:cs="宋体"/>
          <w:color w:val="auto"/>
          <w:sz w:val="24"/>
          <w:highlight w:val="none"/>
          <w:shd w:val="clear" w:color="auto" w:fill="auto"/>
          <w:lang w:val="en-US" w:eastAsia="zh-CN"/>
        </w:rPr>
        <w:t xml:space="preserve"> </w:t>
      </w:r>
      <w:r>
        <w:rPr>
          <w:rFonts w:hint="eastAsia" w:ascii="宋体" w:hAnsi="宋体" w:eastAsia="宋体" w:cs="宋体"/>
          <w:color w:val="auto"/>
          <w:sz w:val="24"/>
          <w:highlight w:val="none"/>
          <w:shd w:val="clear" w:color="auto" w:fill="auto"/>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shd w:val="clear" w:color="auto" w:fill="auto"/>
          <w:lang w:eastAsia="zh-CN"/>
        </w:rPr>
        <w:t xml:space="preserve">虚假成分</w:t>
      </w:r>
      <w:r>
        <w:rPr>
          <w:rFonts w:hint="eastAsia" w:ascii="宋体" w:hAnsi="宋体" w:eastAsia="宋体" w:cs="宋体"/>
          <w:color w:val="auto"/>
          <w:sz w:val="24"/>
          <w:highlight w:val="none"/>
          <w:shd w:val="clear" w:color="auto" w:fill="auto"/>
        </w:rPr>
        <w:t xml:space="preserve">，并对所提供资料的真实性负责；</w:t>
      </w:r>
      <w:r/>
    </w:p>
    <w:p>
      <w:pPr>
        <w:ind w:firstLine="480"/>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（四）严格遵守即时信息公示规定，及时</w:t>
      </w:r>
      <w:r>
        <w:rPr>
          <w:rFonts w:hint="eastAsia" w:ascii="宋体" w:hAnsi="宋体" w:eastAsia="宋体" w:cs="宋体"/>
          <w:color w:val="auto"/>
          <w:sz w:val="24"/>
          <w:highlight w:val="none"/>
          <w:shd w:val="clear" w:color="auto" w:fill="auto"/>
          <w:lang w:eastAsia="zh-CN"/>
        </w:rPr>
        <w:t xml:space="preserve">维护和更新</w:t>
      </w:r>
      <w:r>
        <w:rPr>
          <w:rFonts w:hint="eastAsia" w:ascii="宋体" w:hAnsi="宋体" w:eastAsia="宋体" w:cs="宋体"/>
          <w:color w:val="auto"/>
          <w:sz w:val="24"/>
          <w:highlight w:val="none"/>
          <w:shd w:val="clear" w:color="auto" w:fill="auto"/>
        </w:rPr>
        <w:t xml:space="preserve">盐城市政府采购网中与本单位相关的信息；</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（八）本人已认真阅读了上述承诺，并向本单位员工作了宣传教育。</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法定代表人签名：</w:t>
      </w:r>
      <w:r/>
    </w:p>
    <w:p>
      <w:pPr>
        <w:jc w:val="center"/>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单位名称（盖章）：</w:t>
      </w:r>
      <w:r/>
    </w:p>
    <w:p>
      <w:pPr>
        <w:jc w:val="center"/>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年 月 日</w:t>
      </w:r>
      <w:r/>
    </w:p>
    <w:p>
      <w:pPr>
        <w:pStyle w:val="824"/>
        <w:jc w:val="center"/>
        <w:spacing w:beforeAutospacing="0" w:afterAutospacing="0"/>
        <w:rPr>
          <w:color w:val="auto"/>
          <w:highlight w:val="none"/>
          <w:shd w:val="clear" w:color="auto" w:fill="auto"/>
        </w:rPr>
      </w:pPr>
      <w:r>
        <w:rPr>
          <w:color w:val="auto"/>
          <w:highlight w:val="none"/>
          <w:shd w:val="clear" w:color="auto" w:fill="auto"/>
        </w:rPr>
      </w:r>
      <w:r/>
    </w:p>
    <w:p>
      <w:pPr>
        <w:rPr>
          <w:color w:val="auto"/>
          <w:highlight w:val="none"/>
          <w:shd w:val="clear" w:color="auto" w:fill="auto"/>
        </w:rPr>
      </w:pPr>
      <w:r>
        <w:rPr>
          <w:color w:val="auto"/>
          <w:highlight w:val="none"/>
          <w:shd w:val="clear" w:color="auto" w:fill="auto"/>
        </w:rPr>
      </w:r>
      <w:r/>
    </w:p>
    <w:p>
      <w:pPr>
        <w:pStyle w:val="824"/>
        <w:jc w:val="center"/>
        <w:spacing w:beforeAutospacing="0" w:afterAutospacing="0"/>
        <w:rPr>
          <w:rFonts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t xml:space="preserve">质疑函范本</w:t>
      </w:r>
      <w:r/>
    </w:p>
    <w:p>
      <w:pPr>
        <w:pStyle w:val="824"/>
        <w:jc w:val="both"/>
        <w:spacing w:before="290"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一、质疑供应商基本信息</w:t>
      </w:r>
      <w:r/>
    </w:p>
    <w:p>
      <w:pPr>
        <w:pStyle w:val="824"/>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质疑供应商：</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824"/>
        <w:jc w:val="both"/>
        <w:spacing w:beforeAutospacing="0" w:afterAutospacing="0" w:line="360" w:lineRule="auto"/>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xml:space="preserve">地址：</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824"/>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邮编：</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824"/>
        <w:jc w:val="both"/>
        <w:spacing w:beforeAutospacing="0" w:afterAutospacing="0" w:line="360" w:lineRule="auto"/>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xml:space="preserve">联系人：</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824"/>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联系电话：</w:t>
      </w:r>
      <w:r>
        <w:rPr>
          <w:rFonts w:hint="eastAsia" w:ascii="宋体" w:hAnsi="宋体" w:eastAsia="宋体" w:cs="宋体"/>
          <w:color w:val="auto"/>
          <w:highlight w:val="none"/>
          <w:u w:val="single"/>
          <w:shd w:val="clear" w:color="auto" w:fill="auto"/>
        </w:rPr>
        <w:t xml:space="preserve">                                           </w:t>
      </w:r>
      <w:r/>
    </w:p>
    <w:p>
      <w:pPr>
        <w:pStyle w:val="824"/>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授权代表：</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824"/>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联系电话：</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824"/>
        <w:jc w:val="both"/>
        <w:spacing w:beforeAutospacing="0" w:afterAutospacing="0" w:line="360" w:lineRule="auto"/>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xml:space="preserve">地址： </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824"/>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邮编：</w:t>
      </w:r>
      <w:r>
        <w:rPr>
          <w:rFonts w:hint="eastAsia" w:ascii="宋体" w:hAnsi="宋体" w:eastAsia="宋体" w:cs="宋体"/>
          <w:color w:val="auto"/>
          <w:highlight w:val="none"/>
          <w:u w:val="single"/>
          <w:shd w:val="clear" w:color="auto" w:fill="auto"/>
        </w:rPr>
        <w:t xml:space="preserve">                                </w:t>
      </w:r>
      <w:r/>
    </w:p>
    <w:p>
      <w:pPr>
        <w:pStyle w:val="824"/>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二、质疑项目基本情况</w:t>
      </w:r>
      <w:r/>
    </w:p>
    <w:p>
      <w:pPr>
        <w:pStyle w:val="824"/>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质疑项目的名称：</w:t>
      </w:r>
      <w:r>
        <w:rPr>
          <w:rFonts w:hint="eastAsia" w:ascii="宋体" w:hAnsi="宋体" w:eastAsia="宋体" w:cs="宋体"/>
          <w:color w:val="auto"/>
          <w:highlight w:val="none"/>
          <w:u w:val="single"/>
          <w:shd w:val="clear" w:color="auto" w:fill="auto"/>
        </w:rPr>
        <w:t xml:space="preserve">                            </w:t>
      </w:r>
      <w:r/>
    </w:p>
    <w:p>
      <w:pPr>
        <w:pStyle w:val="824"/>
        <w:jc w:val="both"/>
        <w:spacing w:beforeAutospacing="0" w:afterAutospacing="0" w:line="360" w:lineRule="auto"/>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xml:space="preserve">质疑项目的编号：</w:t>
      </w:r>
      <w:r>
        <w:rPr>
          <w:rFonts w:hint="eastAsia" w:ascii="宋体" w:hAnsi="宋体" w:eastAsia="宋体" w:cs="宋体"/>
          <w:color w:val="auto"/>
          <w:highlight w:val="none"/>
          <w:u w:val="single"/>
          <w:shd w:val="clear" w:color="auto" w:fill="auto"/>
        </w:rPr>
        <w:t xml:space="preserve">                          </w:t>
      </w:r>
      <w:r/>
    </w:p>
    <w:p>
      <w:pPr>
        <w:pStyle w:val="824"/>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包号：</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824"/>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采购人名称：</w:t>
      </w:r>
      <w:r>
        <w:rPr>
          <w:rFonts w:hint="eastAsia" w:ascii="宋体" w:hAnsi="宋体" w:eastAsia="宋体" w:cs="宋体"/>
          <w:color w:val="auto"/>
          <w:highlight w:val="none"/>
          <w:u w:val="single"/>
          <w:shd w:val="clear" w:color="auto" w:fill="auto"/>
        </w:rPr>
        <w:t xml:space="preserve">                            </w:t>
      </w:r>
      <w:r/>
    </w:p>
    <w:p>
      <w:pPr>
        <w:pStyle w:val="824"/>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采购文件获取日期：</w:t>
      </w:r>
      <w:r>
        <w:rPr>
          <w:rFonts w:hint="eastAsia" w:ascii="宋体" w:hAnsi="宋体" w:eastAsia="宋体" w:cs="宋体"/>
          <w:color w:val="auto"/>
          <w:highlight w:val="none"/>
          <w:u w:val="single"/>
          <w:shd w:val="clear" w:color="auto" w:fill="auto"/>
        </w:rPr>
        <w:t xml:space="preserve">                             </w:t>
      </w:r>
      <w:r/>
    </w:p>
    <w:p>
      <w:pPr>
        <w:pStyle w:val="824"/>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三、质疑事项具体内容</w:t>
      </w:r>
      <w:r/>
    </w:p>
    <w:p>
      <w:pPr>
        <w:pStyle w:val="824"/>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质疑事项1：</w:t>
      </w:r>
      <w:r>
        <w:rPr>
          <w:rFonts w:hint="eastAsia" w:ascii="宋体" w:hAnsi="宋体" w:eastAsia="宋体" w:cs="宋体"/>
          <w:color w:val="auto"/>
          <w:highlight w:val="none"/>
          <w:u w:val="single"/>
          <w:shd w:val="clear" w:color="auto" w:fill="auto"/>
        </w:rPr>
        <w:t xml:space="preserve">                             </w:t>
      </w:r>
      <w:r/>
    </w:p>
    <w:p>
      <w:pPr>
        <w:pStyle w:val="824"/>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事实依据：</w:t>
      </w:r>
      <w:r>
        <w:rPr>
          <w:rFonts w:hint="eastAsia" w:ascii="宋体" w:hAnsi="宋体" w:eastAsia="宋体" w:cs="宋体"/>
          <w:color w:val="auto"/>
          <w:highlight w:val="none"/>
          <w:u w:val="single"/>
          <w:shd w:val="clear" w:color="auto" w:fill="auto"/>
        </w:rPr>
        <w:t xml:space="preserve">                                                   </w:t>
      </w:r>
      <w:r/>
    </w:p>
    <w:p>
      <w:pPr>
        <w:pStyle w:val="824"/>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法律依据：</w:t>
      </w:r>
      <w:r>
        <w:rPr>
          <w:rFonts w:hint="eastAsia" w:ascii="宋体" w:hAnsi="宋体" w:eastAsia="宋体" w:cs="宋体"/>
          <w:color w:val="auto"/>
          <w:highlight w:val="none"/>
          <w:u w:val="single"/>
          <w:shd w:val="clear" w:color="auto" w:fill="auto"/>
        </w:rPr>
        <w:t xml:space="preserve">                                                    </w:t>
      </w:r>
      <w:r/>
    </w:p>
    <w:p>
      <w:pPr>
        <w:pStyle w:val="824"/>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质疑事项2</w:t>
      </w:r>
      <w:r/>
    </w:p>
    <w:p>
      <w:pPr>
        <w:pStyle w:val="824"/>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w:t>
      </w:r>
      <w:r/>
    </w:p>
    <w:p>
      <w:pPr>
        <w:pStyle w:val="824"/>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四、与质疑事项相关的质疑请求</w:t>
      </w:r>
      <w:r/>
    </w:p>
    <w:p>
      <w:pPr>
        <w:pStyle w:val="824"/>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请求：</w:t>
      </w:r>
      <w:r>
        <w:rPr>
          <w:rFonts w:hint="eastAsia" w:ascii="宋体" w:hAnsi="宋体" w:eastAsia="宋体" w:cs="宋体"/>
          <w:color w:val="auto"/>
          <w:highlight w:val="none"/>
          <w:u w:val="single"/>
          <w:shd w:val="clear" w:color="auto" w:fill="auto"/>
        </w:rPr>
        <w:t xml:space="preserve">                                                          </w:t>
      </w:r>
      <w:r/>
    </w:p>
    <w:p>
      <w:pPr>
        <w:pStyle w:val="824"/>
        <w:jc w:val="both"/>
        <w:spacing w:beforeAutospacing="0" w:afterAutospacing="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签字(签章)：                 公章：               日期：    </w:t>
      </w:r>
      <w:r/>
    </w:p>
    <w:p>
      <w:pPr>
        <w:pStyle w:val="824"/>
        <w:jc w:val="both"/>
        <w:spacing w:beforeAutospacing="0" w:afterAutospacing="0" w:line="0" w:lineRule="atLeast"/>
        <w:rPr>
          <w:rFonts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质疑函制作说明：</w:t>
      </w:r>
      <w:r/>
    </w:p>
    <w:p>
      <w:pPr>
        <w:pStyle w:val="824"/>
        <w:ind w:firstLine="480"/>
        <w:spacing w:beforeAutospacing="0" w:afterAutospacing="0" w:line="0" w:lineRule="atLeas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1.供应商提出质疑时，应提交质疑函和必要的证明材料。</w:t>
      </w:r>
      <w:r/>
    </w:p>
    <w:p>
      <w:pPr>
        <w:pStyle w:val="824"/>
        <w:ind w:firstLine="480"/>
        <w:spacing w:beforeAutospacing="0" w:afterAutospacing="0" w:line="0" w:lineRule="atLeas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24"/>
        <w:ind w:firstLine="480"/>
        <w:spacing w:beforeAutospacing="0" w:afterAutospacing="0" w:line="0" w:lineRule="atLeas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3.质疑供应商若对项目的某一分包进行质疑，质疑函中应列明具体分包号。</w:t>
      </w:r>
      <w:r/>
    </w:p>
    <w:p>
      <w:pPr>
        <w:pStyle w:val="824"/>
        <w:ind w:firstLine="480"/>
        <w:spacing w:beforeAutospacing="0" w:afterAutospacing="0" w:line="0" w:lineRule="atLeas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4.质疑函的质疑事项应具体、明确，并有必要的事实依据和法律依据。</w:t>
      </w:r>
      <w:r/>
    </w:p>
    <w:p>
      <w:pPr>
        <w:pStyle w:val="824"/>
        <w:ind w:firstLine="480"/>
        <w:spacing w:beforeAutospacing="0" w:afterAutospacing="0" w:line="0" w:lineRule="atLeas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5.质疑函的质疑请求应与质疑事项相关。</w:t>
      </w:r>
      <w:r/>
    </w:p>
    <w:p>
      <w:pPr>
        <w:pStyle w:val="824"/>
        <w:ind w:firstLine="480"/>
        <w:spacing w:beforeAutospacing="0" w:afterAutospacing="0" w:line="0" w:lineRule="atLeas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6.质疑供应商为自然人的，质疑函应由本人签字；质疑供应商为法人或者其他组织的，质疑函应由法定代表人、主要负责人，或者其授权代表签字或者盖章，并加盖公章。</w:t>
      </w:r>
      <w:r/>
    </w:p>
    <w:p>
      <w:pPr>
        <w:pStyle w:val="824"/>
        <w:ind w:firstLine="420"/>
        <w:jc w:val="both"/>
        <w:spacing w:beforeAutospacing="0" w:afterAutospacing="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rPr>
          <w:color w:val="auto"/>
          <w:highlight w:val="none"/>
          <w:shd w:val="clear" w:color="auto" w:fill="auto"/>
        </w:rPr>
      </w:pPr>
      <w:r>
        <w:rPr>
          <w:color w:val="auto"/>
          <w:highlight w:val="none"/>
          <w:shd w:val="clear" w:color="auto" w:fill="auto"/>
        </w:rPr>
      </w:r>
      <w:r/>
    </w:p>
    <w:p>
      <w:pPr>
        <w:rPr>
          <w:color w:val="auto"/>
          <w:highlight w:val="none"/>
          <w:shd w:val="clear" w:color="auto" w:fill="auto"/>
        </w:rPr>
      </w:pPr>
      <w:r>
        <w:rPr>
          <w:color w:val="auto"/>
          <w:highlight w:val="none"/>
          <w:shd w:val="clear" w:color="auto" w:fill="auto"/>
        </w:rPr>
      </w:r>
      <w:r/>
    </w:p>
    <w:p>
      <w:pPr>
        <w:pStyle w:val="824"/>
        <w:jc w:val="center"/>
        <w:spacing w:beforeAutospacing="0" w:afterAutospacing="0"/>
        <w:rPr>
          <w:color w:val="auto"/>
          <w:highlight w:val="none"/>
          <w:shd w:val="clear" w:color="auto" w:fill="auto"/>
        </w:rPr>
      </w:pPr>
      <w:r>
        <w:rPr>
          <w:color w:val="auto"/>
          <w:highlight w:val="none"/>
          <w:shd w:val="clear" w:color="auto" w:fill="auto"/>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PingFang SC">
    <w:panose1 w:val="020B0503020202020204"/>
  </w:font>
  <w:font w:name="Calibri">
    <w:panose1 w:val="020F0502020204030204"/>
  </w:font>
  <w:font w:name="楷体_GB2312">
    <w:panose1 w:val="02010609060101010101"/>
  </w:font>
  <w:font w:name="DengXian">
    <w:panose1 w:val="02010600030101010101"/>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2">
    <w:name w:val="Heading 1"/>
    <w:basedOn w:val="814"/>
    <w:next w:val="814"/>
    <w:link w:val="643"/>
    <w:uiPriority w:val="9"/>
    <w:qFormat/>
    <w:pPr>
      <w:keepLines/>
      <w:keepNext/>
      <w:spacing w:before="480" w:after="200"/>
      <w:outlineLvl w:val="0"/>
    </w:pPr>
    <w:rPr>
      <w:rFonts w:ascii="Arial" w:hAnsi="Arial" w:eastAsia="Arial" w:cs="Arial"/>
      <w:sz w:val="40"/>
      <w:szCs w:val="40"/>
    </w:rPr>
  </w:style>
  <w:style w:type="character" w:styleId="643">
    <w:name w:val="Heading 1 Char"/>
    <w:basedOn w:val="817"/>
    <w:link w:val="642"/>
    <w:uiPriority w:val="9"/>
    <w:rPr>
      <w:rFonts w:ascii="Arial" w:hAnsi="Arial" w:eastAsia="Arial" w:cs="Arial"/>
      <w:sz w:val="40"/>
      <w:szCs w:val="40"/>
    </w:rPr>
  </w:style>
  <w:style w:type="character" w:styleId="644">
    <w:name w:val="Heading 2 Char"/>
    <w:basedOn w:val="817"/>
    <w:link w:val="815"/>
    <w:uiPriority w:val="9"/>
    <w:rPr>
      <w:rFonts w:ascii="Arial" w:hAnsi="Arial" w:eastAsia="Arial" w:cs="Arial"/>
      <w:sz w:val="34"/>
    </w:rPr>
  </w:style>
  <w:style w:type="paragraph" w:styleId="645">
    <w:name w:val="Heading 3"/>
    <w:basedOn w:val="814"/>
    <w:next w:val="814"/>
    <w:link w:val="646"/>
    <w:uiPriority w:val="9"/>
    <w:unhideWhenUsed/>
    <w:qFormat/>
    <w:pPr>
      <w:keepLines/>
      <w:keepNext/>
      <w:spacing w:before="320" w:after="200"/>
      <w:outlineLvl w:val="2"/>
    </w:pPr>
    <w:rPr>
      <w:rFonts w:ascii="Arial" w:hAnsi="Arial" w:eastAsia="Arial" w:cs="Arial"/>
      <w:sz w:val="30"/>
      <w:szCs w:val="30"/>
    </w:rPr>
  </w:style>
  <w:style w:type="character" w:styleId="646">
    <w:name w:val="Heading 3 Char"/>
    <w:basedOn w:val="817"/>
    <w:link w:val="645"/>
    <w:uiPriority w:val="9"/>
    <w:rPr>
      <w:rFonts w:ascii="Arial" w:hAnsi="Arial" w:eastAsia="Arial" w:cs="Arial"/>
      <w:sz w:val="30"/>
      <w:szCs w:val="30"/>
    </w:rPr>
  </w:style>
  <w:style w:type="character" w:styleId="647">
    <w:name w:val="Heading 4 Char"/>
    <w:basedOn w:val="817"/>
    <w:link w:val="816"/>
    <w:uiPriority w:val="9"/>
    <w:rPr>
      <w:rFonts w:ascii="Arial" w:hAnsi="Arial" w:eastAsia="Arial" w:cs="Arial"/>
      <w:b/>
      <w:bCs/>
      <w:sz w:val="26"/>
      <w:szCs w:val="26"/>
    </w:rPr>
  </w:style>
  <w:style w:type="paragraph" w:styleId="648">
    <w:name w:val="Heading 5"/>
    <w:basedOn w:val="814"/>
    <w:next w:val="814"/>
    <w:link w:val="649"/>
    <w:uiPriority w:val="9"/>
    <w:unhideWhenUsed/>
    <w:qFormat/>
    <w:pPr>
      <w:keepLines/>
      <w:keepNext/>
      <w:spacing w:before="320" w:after="200"/>
      <w:outlineLvl w:val="4"/>
    </w:pPr>
    <w:rPr>
      <w:rFonts w:ascii="Arial" w:hAnsi="Arial" w:eastAsia="Arial" w:cs="Arial"/>
      <w:b/>
      <w:bCs/>
      <w:sz w:val="24"/>
      <w:szCs w:val="24"/>
    </w:rPr>
  </w:style>
  <w:style w:type="character" w:styleId="649">
    <w:name w:val="Heading 5 Char"/>
    <w:basedOn w:val="817"/>
    <w:link w:val="648"/>
    <w:uiPriority w:val="9"/>
    <w:rPr>
      <w:rFonts w:ascii="Arial" w:hAnsi="Arial" w:eastAsia="Arial" w:cs="Arial"/>
      <w:b/>
      <w:bCs/>
      <w:sz w:val="24"/>
      <w:szCs w:val="24"/>
    </w:rPr>
  </w:style>
  <w:style w:type="paragraph" w:styleId="650">
    <w:name w:val="Heading 6"/>
    <w:basedOn w:val="814"/>
    <w:next w:val="814"/>
    <w:link w:val="651"/>
    <w:uiPriority w:val="9"/>
    <w:unhideWhenUsed/>
    <w:qFormat/>
    <w:pPr>
      <w:keepLines/>
      <w:keepNext/>
      <w:spacing w:before="320" w:after="200"/>
      <w:outlineLvl w:val="5"/>
    </w:pPr>
    <w:rPr>
      <w:rFonts w:ascii="Arial" w:hAnsi="Arial" w:eastAsia="Arial" w:cs="Arial"/>
      <w:b/>
      <w:bCs/>
      <w:sz w:val="22"/>
      <w:szCs w:val="22"/>
    </w:rPr>
  </w:style>
  <w:style w:type="character" w:styleId="651">
    <w:name w:val="Heading 6 Char"/>
    <w:basedOn w:val="817"/>
    <w:link w:val="650"/>
    <w:uiPriority w:val="9"/>
    <w:rPr>
      <w:rFonts w:ascii="Arial" w:hAnsi="Arial" w:eastAsia="Arial" w:cs="Arial"/>
      <w:b/>
      <w:bCs/>
      <w:sz w:val="22"/>
      <w:szCs w:val="22"/>
    </w:rPr>
  </w:style>
  <w:style w:type="paragraph" w:styleId="652">
    <w:name w:val="Heading 7"/>
    <w:basedOn w:val="814"/>
    <w:next w:val="814"/>
    <w:link w:val="653"/>
    <w:uiPriority w:val="9"/>
    <w:unhideWhenUsed/>
    <w:qFormat/>
    <w:pPr>
      <w:keepLines/>
      <w:keepNext/>
      <w:spacing w:before="320" w:after="200"/>
      <w:outlineLvl w:val="6"/>
    </w:pPr>
    <w:rPr>
      <w:rFonts w:ascii="Arial" w:hAnsi="Arial" w:eastAsia="Arial" w:cs="Arial"/>
      <w:b/>
      <w:bCs/>
      <w:i/>
      <w:iCs/>
      <w:sz w:val="22"/>
      <w:szCs w:val="22"/>
    </w:rPr>
  </w:style>
  <w:style w:type="character" w:styleId="653">
    <w:name w:val="Heading 7 Char"/>
    <w:basedOn w:val="817"/>
    <w:link w:val="652"/>
    <w:uiPriority w:val="9"/>
    <w:rPr>
      <w:rFonts w:ascii="Arial" w:hAnsi="Arial" w:eastAsia="Arial" w:cs="Arial"/>
      <w:b/>
      <w:bCs/>
      <w:i/>
      <w:iCs/>
      <w:sz w:val="22"/>
      <w:szCs w:val="22"/>
    </w:rPr>
  </w:style>
  <w:style w:type="paragraph" w:styleId="654">
    <w:name w:val="Heading 8"/>
    <w:basedOn w:val="814"/>
    <w:next w:val="814"/>
    <w:link w:val="655"/>
    <w:uiPriority w:val="9"/>
    <w:unhideWhenUsed/>
    <w:qFormat/>
    <w:pPr>
      <w:keepLines/>
      <w:keepNext/>
      <w:spacing w:before="320" w:after="200"/>
      <w:outlineLvl w:val="7"/>
    </w:pPr>
    <w:rPr>
      <w:rFonts w:ascii="Arial" w:hAnsi="Arial" w:eastAsia="Arial" w:cs="Arial"/>
      <w:i/>
      <w:iCs/>
      <w:sz w:val="22"/>
      <w:szCs w:val="22"/>
    </w:rPr>
  </w:style>
  <w:style w:type="character" w:styleId="655">
    <w:name w:val="Heading 8 Char"/>
    <w:basedOn w:val="817"/>
    <w:link w:val="654"/>
    <w:uiPriority w:val="9"/>
    <w:rPr>
      <w:rFonts w:ascii="Arial" w:hAnsi="Arial" w:eastAsia="Arial" w:cs="Arial"/>
      <w:i/>
      <w:iCs/>
      <w:sz w:val="22"/>
      <w:szCs w:val="22"/>
    </w:rPr>
  </w:style>
  <w:style w:type="paragraph" w:styleId="656">
    <w:name w:val="Heading 9"/>
    <w:basedOn w:val="814"/>
    <w:next w:val="814"/>
    <w:link w:val="657"/>
    <w:uiPriority w:val="9"/>
    <w:unhideWhenUsed/>
    <w:qFormat/>
    <w:pPr>
      <w:keepLines/>
      <w:keepNext/>
      <w:spacing w:before="320" w:after="200"/>
      <w:outlineLvl w:val="8"/>
    </w:pPr>
    <w:rPr>
      <w:rFonts w:ascii="Arial" w:hAnsi="Arial" w:eastAsia="Arial" w:cs="Arial"/>
      <w:i/>
      <w:iCs/>
      <w:sz w:val="21"/>
      <w:szCs w:val="21"/>
    </w:rPr>
  </w:style>
  <w:style w:type="character" w:styleId="657">
    <w:name w:val="Heading 9 Char"/>
    <w:basedOn w:val="817"/>
    <w:link w:val="656"/>
    <w:uiPriority w:val="9"/>
    <w:rPr>
      <w:rFonts w:ascii="Arial" w:hAnsi="Arial" w:eastAsia="Arial" w:cs="Arial"/>
      <w:i/>
      <w:iCs/>
      <w:sz w:val="21"/>
      <w:szCs w:val="21"/>
    </w:rPr>
  </w:style>
  <w:style w:type="paragraph" w:styleId="658">
    <w:name w:val="List Paragraph"/>
    <w:basedOn w:val="814"/>
    <w:uiPriority w:val="34"/>
    <w:qFormat/>
    <w:pPr>
      <w:contextualSpacing/>
      <w:ind w:left="720"/>
    </w:pPr>
  </w:style>
  <w:style w:type="paragraph" w:styleId="659">
    <w:name w:val="No Spacing"/>
    <w:uiPriority w:val="1"/>
    <w:qFormat/>
    <w:pPr>
      <w:spacing w:before="0" w:after="0" w:line="240" w:lineRule="auto"/>
    </w:pPr>
  </w:style>
  <w:style w:type="paragraph" w:styleId="660">
    <w:name w:val="Title"/>
    <w:basedOn w:val="814"/>
    <w:next w:val="814"/>
    <w:link w:val="661"/>
    <w:uiPriority w:val="10"/>
    <w:qFormat/>
    <w:pPr>
      <w:contextualSpacing/>
      <w:spacing w:before="300" w:after="200"/>
    </w:pPr>
    <w:rPr>
      <w:sz w:val="48"/>
      <w:szCs w:val="48"/>
    </w:rPr>
  </w:style>
  <w:style w:type="character" w:styleId="661">
    <w:name w:val="Title Char"/>
    <w:basedOn w:val="817"/>
    <w:link w:val="660"/>
    <w:uiPriority w:val="10"/>
    <w:rPr>
      <w:sz w:val="48"/>
      <w:szCs w:val="48"/>
    </w:rPr>
  </w:style>
  <w:style w:type="paragraph" w:styleId="662">
    <w:name w:val="Subtitle"/>
    <w:basedOn w:val="814"/>
    <w:next w:val="814"/>
    <w:link w:val="663"/>
    <w:uiPriority w:val="11"/>
    <w:qFormat/>
    <w:pPr>
      <w:spacing w:before="200" w:after="200"/>
    </w:pPr>
    <w:rPr>
      <w:sz w:val="24"/>
      <w:szCs w:val="24"/>
    </w:rPr>
  </w:style>
  <w:style w:type="character" w:styleId="663">
    <w:name w:val="Subtitle Char"/>
    <w:basedOn w:val="817"/>
    <w:link w:val="662"/>
    <w:uiPriority w:val="11"/>
    <w:rPr>
      <w:sz w:val="24"/>
      <w:szCs w:val="24"/>
    </w:rPr>
  </w:style>
  <w:style w:type="paragraph" w:styleId="664">
    <w:name w:val="Quote"/>
    <w:basedOn w:val="814"/>
    <w:next w:val="814"/>
    <w:link w:val="665"/>
    <w:uiPriority w:val="29"/>
    <w:qFormat/>
    <w:pPr>
      <w:ind w:left="720" w:right="720"/>
    </w:pPr>
    <w:rPr>
      <w:i/>
    </w:rPr>
  </w:style>
  <w:style w:type="character" w:styleId="665">
    <w:name w:val="Quote Char"/>
    <w:link w:val="664"/>
    <w:uiPriority w:val="29"/>
    <w:rPr>
      <w:i/>
    </w:rPr>
  </w:style>
  <w:style w:type="paragraph" w:styleId="666">
    <w:name w:val="Intense Quote"/>
    <w:basedOn w:val="814"/>
    <w:next w:val="814"/>
    <w:link w:val="6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7">
    <w:name w:val="Intense Quote Char"/>
    <w:link w:val="666"/>
    <w:uiPriority w:val="30"/>
    <w:rPr>
      <w:i/>
    </w:rPr>
  </w:style>
  <w:style w:type="character" w:styleId="668">
    <w:name w:val="Header Char"/>
    <w:basedOn w:val="817"/>
    <w:link w:val="823"/>
    <w:uiPriority w:val="99"/>
  </w:style>
  <w:style w:type="character" w:styleId="669">
    <w:name w:val="Footer Char"/>
    <w:basedOn w:val="817"/>
    <w:link w:val="822"/>
    <w:uiPriority w:val="99"/>
  </w:style>
  <w:style w:type="paragraph" w:styleId="670">
    <w:name w:val="Caption"/>
    <w:basedOn w:val="814"/>
    <w:next w:val="814"/>
    <w:uiPriority w:val="35"/>
    <w:semiHidden/>
    <w:unhideWhenUsed/>
    <w:qFormat/>
    <w:pPr>
      <w:spacing w:line="276" w:lineRule="auto"/>
    </w:pPr>
    <w:rPr>
      <w:b/>
      <w:bCs/>
      <w:color w:val="4f81bd" w:themeColor="accent1"/>
      <w:sz w:val="18"/>
      <w:szCs w:val="18"/>
    </w:rPr>
  </w:style>
  <w:style w:type="character" w:styleId="671">
    <w:name w:val="Caption Char"/>
    <w:basedOn w:val="670"/>
    <w:link w:val="822"/>
    <w:uiPriority w:val="99"/>
  </w:style>
  <w:style w:type="table" w:styleId="672">
    <w:name w:val="Table Grid Light"/>
    <w:basedOn w:val="8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3">
    <w:name w:val="Plain Table 1"/>
    <w:basedOn w:val="8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4">
    <w:name w:val="Plain Table 2"/>
    <w:basedOn w:val="81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5">
    <w:name w:val="Plain Table 3"/>
    <w:basedOn w:val="8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6">
    <w:name w:val="Plain Table 4"/>
    <w:basedOn w:val="8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7">
    <w:name w:val="Plain Table 5"/>
    <w:basedOn w:val="8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8">
    <w:name w:val="Grid Table 1 Light"/>
    <w:basedOn w:val="81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9">
    <w:name w:val="Grid Table 1 Light - Accent 1"/>
    <w:basedOn w:val="8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0">
    <w:name w:val="Grid Table 1 Light - Accent 2"/>
    <w:basedOn w:val="8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1">
    <w:name w:val="Grid Table 1 Light - Accent 3"/>
    <w:basedOn w:val="8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2">
    <w:name w:val="Grid Table 1 Light - Accent 4"/>
    <w:basedOn w:val="8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3">
    <w:name w:val="Grid Table 1 Light - Accent 5"/>
    <w:basedOn w:val="8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4">
    <w:name w:val="Grid Table 1 Light - Accent 6"/>
    <w:basedOn w:val="8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5">
    <w:name w:val="Grid Table 2"/>
    <w:basedOn w:val="8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6">
    <w:name w:val="Grid Table 2 - Accent 1"/>
    <w:basedOn w:val="8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7">
    <w:name w:val="Grid Table 2 - Accent 2"/>
    <w:basedOn w:val="8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8">
    <w:name w:val="Grid Table 2 - Accent 3"/>
    <w:basedOn w:val="8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9">
    <w:name w:val="Grid Table 2 - Accent 4"/>
    <w:basedOn w:val="8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0">
    <w:name w:val="Grid Table 2 - Accent 5"/>
    <w:basedOn w:val="8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1">
    <w:name w:val="Grid Table 2 - Accent 6"/>
    <w:basedOn w:val="8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2">
    <w:name w:val="Grid Table 3"/>
    <w:basedOn w:val="8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1"/>
    <w:basedOn w:val="8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2"/>
    <w:basedOn w:val="8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3"/>
    <w:basedOn w:val="8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4"/>
    <w:basedOn w:val="8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5"/>
    <w:basedOn w:val="8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6"/>
    <w:basedOn w:val="8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4"/>
    <w:basedOn w:val="81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0">
    <w:name w:val="Grid Table 4 - Accent 1"/>
    <w:basedOn w:val="81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1">
    <w:name w:val="Grid Table 4 - Accent 2"/>
    <w:basedOn w:val="81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2">
    <w:name w:val="Grid Table 4 - Accent 3"/>
    <w:basedOn w:val="81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3">
    <w:name w:val="Grid Table 4 - Accent 4"/>
    <w:basedOn w:val="81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4">
    <w:name w:val="Grid Table 4 - Accent 5"/>
    <w:basedOn w:val="81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5">
    <w:name w:val="Grid Table 4 - Accent 6"/>
    <w:basedOn w:val="81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6">
    <w:name w:val="Grid Table 5 Dark"/>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7">
    <w:name w:val="Grid Table 5 Dark- Accent 1"/>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08">
    <w:name w:val="Grid Table 5 Dark - Accent 2"/>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09">
    <w:name w:val="Grid Table 5 Dark - Accent 3"/>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10">
    <w:name w:val="Grid Table 5 Dark- Accent 4"/>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11">
    <w:name w:val="Grid Table 5 Dark - Accent 5"/>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12">
    <w:name w:val="Grid Table 5 Dark - Accent 6"/>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13">
    <w:name w:val="Grid Table 6 Colorful"/>
    <w:basedOn w:val="81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4">
    <w:name w:val="Grid Table 6 Colorful - Accent 1"/>
    <w:basedOn w:val="81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15">
    <w:name w:val="Grid Table 6 Colorful - Accent 2"/>
    <w:basedOn w:val="8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16">
    <w:name w:val="Grid Table 6 Colorful - Accent 3"/>
    <w:basedOn w:val="81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17">
    <w:name w:val="Grid Table 6 Colorful - Accent 4"/>
    <w:basedOn w:val="8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18">
    <w:name w:val="Grid Table 6 Colorful - Accent 5"/>
    <w:basedOn w:val="81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19">
    <w:name w:val="Grid Table 6 Colorful - Accent 6"/>
    <w:basedOn w:val="81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20">
    <w:name w:val="Grid Table 7 Colorful"/>
    <w:basedOn w:val="81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1">
    <w:name w:val="Grid Table 7 Colorful - Accent 1"/>
    <w:basedOn w:val="81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2">
    <w:name w:val="Grid Table 7 Colorful - Accent 2"/>
    <w:basedOn w:val="81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3">
    <w:name w:val="Grid Table 7 Colorful - Accent 3"/>
    <w:basedOn w:val="81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4">
    <w:name w:val="Grid Table 7 Colorful - Accent 4"/>
    <w:basedOn w:val="81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5">
    <w:name w:val="Grid Table 7 Colorful - Accent 5"/>
    <w:basedOn w:val="81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6">
    <w:name w:val="Grid Table 7 Colorful - Accent 6"/>
    <w:basedOn w:val="81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7">
    <w:name w:val="List Table 1 Light"/>
    <w:basedOn w:val="81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8">
    <w:name w:val="List Table 1 Light - Accent 1"/>
    <w:basedOn w:val="81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9">
    <w:name w:val="List Table 1 Light - Accent 2"/>
    <w:basedOn w:val="81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0">
    <w:name w:val="List Table 1 Light - Accent 3"/>
    <w:basedOn w:val="81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1">
    <w:name w:val="List Table 1 Light - Accent 4"/>
    <w:basedOn w:val="81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2">
    <w:name w:val="List Table 1 Light - Accent 5"/>
    <w:basedOn w:val="81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3">
    <w:name w:val="List Table 1 Light - Accent 6"/>
    <w:basedOn w:val="81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4">
    <w:name w:val="List Table 2"/>
    <w:basedOn w:val="81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5">
    <w:name w:val="List Table 2 - Accent 1"/>
    <w:basedOn w:val="81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6">
    <w:name w:val="List Table 2 - Accent 2"/>
    <w:basedOn w:val="81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7">
    <w:name w:val="List Table 2 - Accent 3"/>
    <w:basedOn w:val="81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8">
    <w:name w:val="List Table 2 - Accent 4"/>
    <w:basedOn w:val="81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9">
    <w:name w:val="List Table 2 - Accent 5"/>
    <w:basedOn w:val="81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0">
    <w:name w:val="List Table 2 - Accent 6"/>
    <w:basedOn w:val="81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1">
    <w:name w:val="List Table 3"/>
    <w:basedOn w:val="8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2">
    <w:name w:val="List Table 3 - Accent 1"/>
    <w:basedOn w:val="81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43">
    <w:name w:val="List Table 3 - Accent 2"/>
    <w:basedOn w:val="8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44">
    <w:name w:val="List Table 3 - Accent 3"/>
    <w:basedOn w:val="81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45">
    <w:name w:val="List Table 3 - Accent 4"/>
    <w:basedOn w:val="8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46">
    <w:name w:val="List Table 3 - Accent 5"/>
    <w:basedOn w:val="81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47">
    <w:name w:val="List Table 3 - Accent 6"/>
    <w:basedOn w:val="81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48">
    <w:name w:val="List Table 4"/>
    <w:basedOn w:val="8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9">
    <w:name w:val="List Table 4 - Accent 1"/>
    <w:basedOn w:val="81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50">
    <w:name w:val="List Table 4 - Accent 2"/>
    <w:basedOn w:val="81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51">
    <w:name w:val="List Table 4 - Accent 3"/>
    <w:basedOn w:val="81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52">
    <w:name w:val="List Table 4 - Accent 4"/>
    <w:basedOn w:val="81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53">
    <w:name w:val="List Table 4 - Accent 5"/>
    <w:basedOn w:val="81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54">
    <w:name w:val="List Table 4 - Accent 6"/>
    <w:basedOn w:val="81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55">
    <w:name w:val="List Table 5 Dark"/>
    <w:basedOn w:val="81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1"/>
    <w:basedOn w:val="81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2"/>
    <w:basedOn w:val="81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3"/>
    <w:basedOn w:val="81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4"/>
    <w:basedOn w:val="81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5"/>
    <w:basedOn w:val="81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6"/>
    <w:basedOn w:val="81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6 Colorful"/>
    <w:basedOn w:val="81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3">
    <w:name w:val="List Table 6 Colorful - Accent 1"/>
    <w:basedOn w:val="81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64">
    <w:name w:val="List Table 6 Colorful - Accent 2"/>
    <w:basedOn w:val="81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65">
    <w:name w:val="List Table 6 Colorful - Accent 3"/>
    <w:basedOn w:val="81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66">
    <w:name w:val="List Table 6 Colorful - Accent 4"/>
    <w:basedOn w:val="81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67">
    <w:name w:val="List Table 6 Colorful - Accent 5"/>
    <w:basedOn w:val="81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68">
    <w:name w:val="List Table 6 Colorful - Accent 6"/>
    <w:basedOn w:val="81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69">
    <w:name w:val="List Table 7 Colorful"/>
    <w:basedOn w:val="81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0">
    <w:name w:val="List Table 7 Colorful - Accent 1"/>
    <w:basedOn w:val="81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71">
    <w:name w:val="List Table 7 Colorful - Accent 2"/>
    <w:basedOn w:val="81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72">
    <w:name w:val="List Table 7 Colorful - Accent 3"/>
    <w:basedOn w:val="81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73">
    <w:name w:val="List Table 7 Colorful - Accent 4"/>
    <w:basedOn w:val="81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74">
    <w:name w:val="List Table 7 Colorful - Accent 5"/>
    <w:basedOn w:val="81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75">
    <w:name w:val="List Table 7 Colorful - Accent 6"/>
    <w:basedOn w:val="81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76">
    <w:name w:val="Lined - Accent"/>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7">
    <w:name w:val="Lined - Accent 1"/>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78">
    <w:name w:val="Lined - Accent 2"/>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79">
    <w:name w:val="Lined - Accent 3"/>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80">
    <w:name w:val="Lined - Accent 4"/>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81">
    <w:name w:val="Lined - Accent 5"/>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82">
    <w:name w:val="Lined - Accent 6"/>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83">
    <w:name w:val="Bordered &amp; Lined - Accent"/>
    <w:basedOn w:val="81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4">
    <w:name w:val="Bordered &amp; Lined - Accent 1"/>
    <w:basedOn w:val="81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85">
    <w:name w:val="Bordered &amp; Lined - Accent 2"/>
    <w:basedOn w:val="81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86">
    <w:name w:val="Bordered &amp; Lined - Accent 3"/>
    <w:basedOn w:val="81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87">
    <w:name w:val="Bordered &amp; Lined - Accent 4"/>
    <w:basedOn w:val="81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88">
    <w:name w:val="Bordered &amp; Lined - Accent 5"/>
    <w:basedOn w:val="81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89">
    <w:name w:val="Bordered &amp; Lined - Accent 6"/>
    <w:basedOn w:val="81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90">
    <w:name w:val="Bordered"/>
    <w:basedOn w:val="81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1">
    <w:name w:val="Bordered - Accent 1"/>
    <w:basedOn w:val="8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2">
    <w:name w:val="Bordered - Accent 2"/>
    <w:basedOn w:val="8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3">
    <w:name w:val="Bordered - Accent 3"/>
    <w:basedOn w:val="8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4">
    <w:name w:val="Bordered - Accent 4"/>
    <w:basedOn w:val="8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5">
    <w:name w:val="Bordered - Accent 5"/>
    <w:basedOn w:val="8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6">
    <w:name w:val="Bordered - Accent 6"/>
    <w:basedOn w:val="8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797">
    <w:name w:val="footnote text"/>
    <w:basedOn w:val="814"/>
    <w:link w:val="798"/>
    <w:uiPriority w:val="99"/>
    <w:semiHidden/>
    <w:unhideWhenUsed/>
    <w:pPr>
      <w:spacing w:after="40" w:line="240" w:lineRule="auto"/>
    </w:pPr>
    <w:rPr>
      <w:sz w:val="18"/>
    </w:rPr>
  </w:style>
  <w:style w:type="character" w:styleId="798">
    <w:name w:val="Footnote Text Char"/>
    <w:link w:val="797"/>
    <w:uiPriority w:val="99"/>
    <w:rPr>
      <w:sz w:val="18"/>
    </w:rPr>
  </w:style>
  <w:style w:type="character" w:styleId="799">
    <w:name w:val="footnote reference"/>
    <w:basedOn w:val="817"/>
    <w:uiPriority w:val="99"/>
    <w:unhideWhenUsed/>
    <w:rPr>
      <w:vertAlign w:val="superscript"/>
    </w:rPr>
  </w:style>
  <w:style w:type="paragraph" w:styleId="800">
    <w:name w:val="endnote text"/>
    <w:basedOn w:val="814"/>
    <w:link w:val="801"/>
    <w:uiPriority w:val="99"/>
    <w:semiHidden/>
    <w:unhideWhenUsed/>
    <w:pPr>
      <w:spacing w:after="0" w:line="240" w:lineRule="auto"/>
    </w:pPr>
    <w:rPr>
      <w:sz w:val="20"/>
    </w:rPr>
  </w:style>
  <w:style w:type="character" w:styleId="801">
    <w:name w:val="Endnote Text Char"/>
    <w:link w:val="800"/>
    <w:uiPriority w:val="99"/>
    <w:rPr>
      <w:sz w:val="20"/>
    </w:rPr>
  </w:style>
  <w:style w:type="character" w:styleId="802">
    <w:name w:val="endnote reference"/>
    <w:basedOn w:val="817"/>
    <w:uiPriority w:val="99"/>
    <w:semiHidden/>
    <w:unhideWhenUsed/>
    <w:rPr>
      <w:vertAlign w:val="superscript"/>
    </w:rPr>
  </w:style>
  <w:style w:type="paragraph" w:styleId="803">
    <w:name w:val="toc 1"/>
    <w:basedOn w:val="814"/>
    <w:next w:val="814"/>
    <w:uiPriority w:val="39"/>
    <w:unhideWhenUsed/>
    <w:pPr>
      <w:ind w:left="0" w:right="0" w:firstLine="0"/>
      <w:spacing w:after="57"/>
    </w:pPr>
  </w:style>
  <w:style w:type="paragraph" w:styleId="804">
    <w:name w:val="toc 2"/>
    <w:basedOn w:val="814"/>
    <w:next w:val="814"/>
    <w:uiPriority w:val="39"/>
    <w:unhideWhenUsed/>
    <w:pPr>
      <w:ind w:left="283" w:right="0" w:firstLine="0"/>
      <w:spacing w:after="57"/>
    </w:pPr>
  </w:style>
  <w:style w:type="paragraph" w:styleId="805">
    <w:name w:val="toc 3"/>
    <w:basedOn w:val="814"/>
    <w:next w:val="814"/>
    <w:uiPriority w:val="39"/>
    <w:unhideWhenUsed/>
    <w:pPr>
      <w:ind w:left="567" w:right="0" w:firstLine="0"/>
      <w:spacing w:after="57"/>
    </w:pPr>
  </w:style>
  <w:style w:type="paragraph" w:styleId="806">
    <w:name w:val="toc 4"/>
    <w:basedOn w:val="814"/>
    <w:next w:val="814"/>
    <w:uiPriority w:val="39"/>
    <w:unhideWhenUsed/>
    <w:pPr>
      <w:ind w:left="850" w:right="0" w:firstLine="0"/>
      <w:spacing w:after="57"/>
    </w:pPr>
  </w:style>
  <w:style w:type="paragraph" w:styleId="807">
    <w:name w:val="toc 5"/>
    <w:basedOn w:val="814"/>
    <w:next w:val="814"/>
    <w:uiPriority w:val="39"/>
    <w:unhideWhenUsed/>
    <w:pPr>
      <w:ind w:left="1134" w:right="0" w:firstLine="0"/>
      <w:spacing w:after="57"/>
    </w:pPr>
  </w:style>
  <w:style w:type="paragraph" w:styleId="808">
    <w:name w:val="toc 6"/>
    <w:basedOn w:val="814"/>
    <w:next w:val="814"/>
    <w:uiPriority w:val="39"/>
    <w:unhideWhenUsed/>
    <w:pPr>
      <w:ind w:left="1417" w:right="0" w:firstLine="0"/>
      <w:spacing w:after="57"/>
    </w:pPr>
  </w:style>
  <w:style w:type="paragraph" w:styleId="809">
    <w:name w:val="toc 7"/>
    <w:basedOn w:val="814"/>
    <w:next w:val="814"/>
    <w:uiPriority w:val="39"/>
    <w:unhideWhenUsed/>
    <w:pPr>
      <w:ind w:left="1701" w:right="0" w:firstLine="0"/>
      <w:spacing w:after="57"/>
    </w:pPr>
  </w:style>
  <w:style w:type="paragraph" w:styleId="810">
    <w:name w:val="toc 8"/>
    <w:basedOn w:val="814"/>
    <w:next w:val="814"/>
    <w:uiPriority w:val="39"/>
    <w:unhideWhenUsed/>
    <w:pPr>
      <w:ind w:left="1984" w:right="0" w:firstLine="0"/>
      <w:spacing w:after="57"/>
    </w:pPr>
  </w:style>
  <w:style w:type="paragraph" w:styleId="811">
    <w:name w:val="toc 9"/>
    <w:basedOn w:val="814"/>
    <w:next w:val="814"/>
    <w:uiPriority w:val="39"/>
    <w:unhideWhenUsed/>
    <w:pPr>
      <w:ind w:left="2268" w:right="0" w:firstLine="0"/>
      <w:spacing w:after="57"/>
    </w:pPr>
  </w:style>
  <w:style w:type="paragraph" w:styleId="812">
    <w:name w:val="TOC Heading"/>
    <w:uiPriority w:val="39"/>
    <w:unhideWhenUsed/>
  </w:style>
  <w:style w:type="paragraph" w:styleId="813">
    <w:name w:val="table of figures"/>
    <w:basedOn w:val="814"/>
    <w:next w:val="814"/>
    <w:uiPriority w:val="99"/>
    <w:unhideWhenUsed/>
    <w:pPr>
      <w:spacing w:after="0" w:afterAutospacing="0"/>
    </w:pPr>
  </w:style>
  <w:style w:type="paragraph" w:styleId="814" w:default="1">
    <w:name w:val="Normal"/>
    <w:next w:val="819"/>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15">
    <w:name w:val="Heading 2"/>
    <w:basedOn w:val="814"/>
    <w:next w:val="814"/>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816">
    <w:name w:val="Heading 4"/>
    <w:basedOn w:val="814"/>
    <w:next w:val="814"/>
    <w:uiPriority w:val="9"/>
    <w:qFormat/>
    <w:pPr>
      <w:keepLines/>
      <w:keepNext/>
      <w:spacing w:before="280" w:after="290" w:line="376" w:lineRule="auto"/>
      <w:outlineLvl w:val="3"/>
    </w:pPr>
    <w:rPr>
      <w:rFonts w:ascii="Arial" w:hAnsi="Arial" w:eastAsia="黑体" w:cs="Arial"/>
      <w:b/>
      <w:bCs/>
      <w:sz w:val="28"/>
      <w:szCs w:val="28"/>
    </w:rPr>
  </w:style>
  <w:style w:type="character" w:styleId="817" w:default="1">
    <w:name w:val="Default Paragraph Font"/>
    <w:uiPriority w:val="1"/>
    <w:semiHidden/>
    <w:unhideWhenUsed/>
    <w:qFormat/>
  </w:style>
  <w:style w:type="table" w:styleId="818" w:default="1">
    <w:name w:val="Normal Table"/>
    <w:uiPriority w:val="99"/>
    <w:semiHidden/>
    <w:unhideWhenUsed/>
    <w:qFormat/>
    <w:tblPr>
      <w:tblCellMar>
        <w:left w:w="108" w:type="dxa"/>
        <w:top w:w="0" w:type="dxa"/>
        <w:right w:w="108" w:type="dxa"/>
        <w:bottom w:w="0" w:type="dxa"/>
      </w:tblCellMar>
    </w:tblPr>
  </w:style>
  <w:style w:type="paragraph" w:styleId="819">
    <w:name w:val="Body Text Indent"/>
    <w:basedOn w:val="814"/>
    <w:next w:val="820"/>
    <w:uiPriority w:val="99"/>
    <w:qFormat/>
    <w:pPr>
      <w:ind w:firstLine="645"/>
    </w:pPr>
    <w:rPr>
      <w:rFonts w:ascii="楷体_GB2312" w:eastAsia="楷体_GB2312"/>
      <w:sz w:val="32"/>
      <w:szCs w:val="32"/>
    </w:rPr>
  </w:style>
  <w:style w:type="paragraph" w:styleId="820">
    <w:name w:val="envelope return"/>
    <w:basedOn w:val="814"/>
    <w:uiPriority w:val="0"/>
    <w:qFormat/>
    <w:rPr>
      <w:rFonts w:ascii="Arial" w:hAnsi="Arial"/>
    </w:rPr>
  </w:style>
  <w:style w:type="paragraph" w:styleId="821">
    <w:name w:val="annotation text"/>
    <w:basedOn w:val="814"/>
    <w:uiPriority w:val="0"/>
    <w:qFormat/>
    <w:pPr>
      <w:jc w:val="left"/>
    </w:pPr>
  </w:style>
  <w:style w:type="paragraph" w:styleId="822">
    <w:name w:val="Footer"/>
    <w:basedOn w:val="814"/>
    <w:link w:val="830"/>
    <w:uiPriority w:val="0"/>
    <w:qFormat/>
    <w:pPr>
      <w:jc w:val="left"/>
      <w:tabs>
        <w:tab w:val="center" w:pos="4153" w:leader="none"/>
        <w:tab w:val="right" w:pos="8306" w:leader="none"/>
      </w:tabs>
    </w:pPr>
    <w:rPr>
      <w:sz w:val="18"/>
      <w:szCs w:val="18"/>
    </w:rPr>
  </w:style>
  <w:style w:type="paragraph" w:styleId="823">
    <w:name w:val="Header"/>
    <w:basedOn w:val="814"/>
    <w:link w:val="829"/>
    <w:uiPriority w:val="0"/>
    <w:qFormat/>
    <w:pPr>
      <w:jc w:val="center"/>
      <w:tabs>
        <w:tab w:val="center" w:pos="4153" w:leader="none"/>
        <w:tab w:val="right" w:pos="8306" w:leader="none"/>
      </w:tabs>
      <w:pBdr>
        <w:bottom w:val="single" w:color="auto" w:sz="6" w:space="1"/>
      </w:pBdr>
    </w:pPr>
    <w:rPr>
      <w:sz w:val="18"/>
      <w:szCs w:val="18"/>
    </w:rPr>
  </w:style>
  <w:style w:type="paragraph" w:styleId="824">
    <w:name w:val="Normal (Web)"/>
    <w:basedOn w:val="814"/>
    <w:uiPriority w:val="0"/>
    <w:qFormat/>
    <w:pPr>
      <w:jc w:val="left"/>
      <w:spacing w:beforeAutospacing="1" w:afterAutospacing="1"/>
    </w:pPr>
    <w:rPr>
      <w:rFonts w:cs="Times New Roman"/>
      <w:sz w:val="24"/>
    </w:rPr>
  </w:style>
  <w:style w:type="paragraph" w:styleId="825">
    <w:name w:val="Body Text First Indent 2"/>
    <w:basedOn w:val="819"/>
    <w:uiPriority w:val="99"/>
    <w:qFormat/>
    <w:pPr>
      <w:ind w:firstLine="420"/>
      <w:spacing w:line="360" w:lineRule="auto"/>
    </w:pPr>
    <w:rPr>
      <w:rFonts w:ascii="宋体" w:hAnsi="宋体" w:eastAsia="宋体"/>
      <w:sz w:val="20"/>
      <w:szCs w:val="20"/>
    </w:rPr>
  </w:style>
  <w:style w:type="table" w:styleId="826">
    <w:name w:val="Table Grid"/>
    <w:basedOn w:val="81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7">
    <w:name w:val="FollowedHyperlink"/>
    <w:basedOn w:val="817"/>
    <w:uiPriority w:val="0"/>
    <w:rPr>
      <w:color w:val="333333"/>
      <w:u w:val="none"/>
    </w:rPr>
  </w:style>
  <w:style w:type="character" w:styleId="828">
    <w:name w:val="Hyperlink"/>
    <w:basedOn w:val="817"/>
    <w:uiPriority w:val="0"/>
    <w:qFormat/>
    <w:rPr>
      <w:color w:val="333333"/>
      <w:u w:val="none"/>
    </w:rPr>
  </w:style>
  <w:style w:type="character" w:styleId="829" w:customStyle="1">
    <w:name w:val="页眉 Char"/>
    <w:basedOn w:val="817"/>
    <w:link w:val="823"/>
    <w:uiPriority w:val="0"/>
    <w:qFormat/>
    <w:rPr>
      <w:rFonts w:asciiTheme="minorHAnsi" w:hAnsiTheme="minorHAnsi" w:eastAsiaTheme="minorEastAsia" w:cstheme="minorBidi"/>
      <w:sz w:val="18"/>
      <w:szCs w:val="18"/>
    </w:rPr>
  </w:style>
  <w:style w:type="character" w:styleId="830" w:customStyle="1">
    <w:name w:val="页脚 Char"/>
    <w:basedOn w:val="817"/>
    <w:link w:val="822"/>
    <w:uiPriority w:val="0"/>
    <w:qFormat/>
    <w:rPr>
      <w:rFonts w:asciiTheme="minorHAnsi" w:hAnsiTheme="minorHAnsi" w:eastAsiaTheme="minorEastAsia" w:cstheme="minorBidi"/>
      <w:sz w:val="18"/>
      <w:szCs w:val="18"/>
    </w:rPr>
  </w:style>
  <w:style w:type="paragraph" w:styleId="831" w:customStyle="1">
    <w:name w:val="正文首行缩进 21"/>
    <w:basedOn w:val="832"/>
    <w:uiPriority w:val="0"/>
    <w:qFormat/>
    <w:pPr>
      <w:ind w:firstLine="420"/>
    </w:pPr>
  </w:style>
  <w:style w:type="paragraph" w:styleId="832" w:customStyle="1">
    <w:name w:val="正文文本缩进1"/>
    <w:basedOn w:val="814"/>
    <w:uiPriority w:val="0"/>
    <w:qFormat/>
    <w:pPr>
      <w:ind w:left="420"/>
      <w:spacing w:after="120"/>
    </w:pPr>
  </w:style>
  <w:style w:type="character" w:styleId="833" w:customStyle="1">
    <w:name w:val="active"/>
    <w:basedOn w:val="817"/>
    <w:uiPriority w:val="0"/>
    <w:qFormat/>
    <w:rPr>
      <w:color w:val="ffffff"/>
      <w:shd w:val="clear" w:color="auto" w:fill="0f5bb9"/>
    </w:rPr>
  </w:style>
  <w:style w:type="character" w:styleId="834" w:customStyle="1">
    <w:name w:val="active16"/>
    <w:basedOn w:val="817"/>
    <w:uiPriority w:val="0"/>
    <w:rPr>
      <w:color w:val="ffffff"/>
      <w:shd w:val="clear" w:color="auto" w:fill="0f5bb9"/>
    </w:rPr>
  </w:style>
  <w:style w:type="paragraph" w:styleId="835"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836" w:customStyle="1">
    <w:name w:val="p1"/>
    <w:basedOn w:val="814"/>
    <w:uiPriority w:val="0"/>
    <w:pPr>
      <w:ind w:left="0" w:right="0"/>
      <w:jc w:val="left"/>
      <w:spacing w:before="0" w:beforeAutospacing="0" w:after="0" w:afterAutospacing="0"/>
    </w:pPr>
    <w:rPr>
      <w:rFonts w:ascii="PingFang SC" w:hAnsi="PingFang SC" w:eastAsia="PingFang SC" w:cs="PingFang SC"/>
      <w:color w:val="000000"/>
      <w:sz w:val="28"/>
      <w:szCs w:val="28"/>
      <w:lang w:val="en-US" w:eastAsia="zh-CN" w:bidi="ar"/>
    </w:rPr>
  </w:style>
  <w:style w:type="character" w:styleId="837" w:customStyle="1">
    <w:name w:val="NormalCharacter"/>
    <w:uiPriority w:val="0"/>
    <w:semiHidden/>
    <w:qFormat/>
  </w:style>
  <w:style w:type="numbering" w:styleId="8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周本鹏</cp:lastModifiedBy>
  <cp:revision>71</cp:revision>
  <dcterms:created xsi:type="dcterms:W3CDTF">2014-10-29T12:08:00Z</dcterms:created>
  <dcterms:modified xsi:type="dcterms:W3CDTF">2025-12-09T03:38:53Z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7C08DE64E46D4505B21608E1B9DF6513_13</vt:lpwstr>
  </property>
  <property fmtid="{D5CDD505-2E9C-101B-9397-08002B2CF9AE}" pid="4" name="KSOTemplateDocerSaveRecord">
    <vt:lpwstr>eyJoZGlkIjoiOGZjYTIyYjYwYzQxMDA5NzQ2NzQzYTE0NDU4NDAyMjAiLCJ1c2VySWQiOiIyMzY1MDE2OTQifQ==</vt:lpwstr>
  </property>
</Properties>
</file>